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5CA3">
      <w:pPr>
        <w:pStyle w:val="14"/>
        <w:adjustRightInd w:val="0"/>
        <w:snapToGrid w:val="0"/>
        <w:spacing w:line="360" w:lineRule="auto"/>
        <w:ind w:firstLine="0"/>
        <w:jc w:val="center"/>
        <w:rPr>
          <w:sz w:val="32"/>
          <w:szCs w:val="32"/>
        </w:rPr>
      </w:pPr>
      <w:r>
        <w:rPr>
          <w:rFonts w:hint="eastAsia"/>
          <w:b/>
          <w:sz w:val="32"/>
          <w:szCs w:val="32"/>
          <w:lang w:val="en-US" w:eastAsia="zh-CN"/>
        </w:rPr>
        <w:t>两校区会堂舞台设施设备维修</w:t>
      </w:r>
      <w:r>
        <w:rPr>
          <w:rFonts w:hint="eastAsia"/>
          <w:b/>
          <w:sz w:val="32"/>
          <w:szCs w:val="32"/>
        </w:rPr>
        <w:t>维保服务</w:t>
      </w:r>
      <w:r>
        <w:rPr>
          <w:rFonts w:hint="eastAsia"/>
          <w:b/>
          <w:sz w:val="32"/>
          <w:szCs w:val="32"/>
          <w:lang w:eastAsia="zh-CN"/>
        </w:rPr>
        <w:t>项目</w:t>
      </w:r>
      <w:r>
        <w:rPr>
          <w:rFonts w:hint="eastAsia"/>
          <w:b/>
          <w:sz w:val="32"/>
          <w:szCs w:val="32"/>
        </w:rPr>
        <w:t>采购</w:t>
      </w:r>
    </w:p>
    <w:p w14:paraId="5381E2DE">
      <w:pPr>
        <w:pStyle w:val="1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Style w:val="13"/>
          <w:rFonts w:hint="eastAsia" w:ascii="宋体" w:hAnsi="宋体" w:eastAsia="宋体" w:cs="宋体"/>
          <w:sz w:val="24"/>
          <w:szCs w:val="24"/>
        </w:rPr>
      </w:pPr>
      <w:r>
        <w:rPr>
          <w:rStyle w:val="13"/>
          <w:rFonts w:hint="eastAsia" w:ascii="宋体" w:hAnsi="宋体" w:eastAsia="宋体" w:cs="宋体"/>
          <w:sz w:val="24"/>
          <w:szCs w:val="24"/>
        </w:rPr>
        <w:t>对</w:t>
      </w:r>
      <w:r>
        <w:rPr>
          <w:rStyle w:val="13"/>
          <w:rFonts w:hint="eastAsia" w:ascii="宋体" w:hAnsi="宋体" w:eastAsia="宋体" w:cs="宋体"/>
          <w:sz w:val="24"/>
          <w:szCs w:val="24"/>
          <w:lang w:eastAsia="zh-CN"/>
        </w:rPr>
        <w:t>中南财经政法大学</w:t>
      </w:r>
      <w:r>
        <w:rPr>
          <w:rStyle w:val="13"/>
          <w:rFonts w:hint="eastAsia" w:ascii="宋体" w:hAnsi="宋体" w:eastAsia="宋体" w:cs="宋体"/>
          <w:sz w:val="24"/>
          <w:szCs w:val="24"/>
          <w:lang w:val="en-US" w:eastAsia="zh-CN"/>
        </w:rPr>
        <w:t>南湖会堂舞台18</w:t>
      </w:r>
      <w:r>
        <w:rPr>
          <w:rStyle w:val="13"/>
          <w:rFonts w:hint="eastAsia" w:ascii="宋体" w:hAnsi="宋体" w:eastAsia="宋体" w:cs="宋体"/>
          <w:sz w:val="24"/>
          <w:szCs w:val="24"/>
        </w:rPr>
        <w:t>台</w:t>
      </w:r>
      <w:r>
        <w:rPr>
          <w:rStyle w:val="13"/>
          <w:rFonts w:hint="eastAsia" w:ascii="宋体" w:hAnsi="宋体" w:eastAsia="宋体" w:cs="宋体"/>
          <w:sz w:val="24"/>
          <w:szCs w:val="24"/>
          <w:lang w:val="en-US" w:eastAsia="zh-CN"/>
        </w:rPr>
        <w:t>专业灯光</w:t>
      </w:r>
      <w:r>
        <w:rPr>
          <w:rStyle w:val="13"/>
          <w:rFonts w:hint="eastAsia" w:ascii="宋体" w:hAnsi="宋体" w:eastAsia="宋体" w:cs="宋体"/>
          <w:sz w:val="24"/>
          <w:szCs w:val="24"/>
        </w:rPr>
        <w:t>设备进行维修</w:t>
      </w:r>
      <w:r>
        <w:rPr>
          <w:rStyle w:val="13"/>
          <w:rFonts w:hint="eastAsia" w:ascii="宋体" w:hAnsi="宋体" w:eastAsia="宋体" w:cs="宋体"/>
          <w:sz w:val="24"/>
          <w:szCs w:val="24"/>
          <w:lang w:eastAsia="zh-CN"/>
        </w:rPr>
        <w:t>，</w:t>
      </w:r>
      <w:r>
        <w:rPr>
          <w:rStyle w:val="13"/>
          <w:rFonts w:hint="eastAsia" w:ascii="宋体" w:hAnsi="宋体" w:eastAsia="宋体" w:cs="宋体"/>
          <w:sz w:val="24"/>
          <w:szCs w:val="24"/>
          <w:lang w:val="en-US" w:eastAsia="zh-CN"/>
        </w:rPr>
        <w:t>以及两校区舞台机械系统</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灯光系统</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音响系统、幕布系统、特效设备</w:t>
      </w:r>
      <w:r>
        <w:rPr>
          <w:rStyle w:val="13"/>
          <w:rFonts w:hint="eastAsia" w:ascii="宋体" w:hAnsi="宋体" w:eastAsia="宋体" w:cs="宋体"/>
          <w:sz w:val="24"/>
          <w:szCs w:val="24"/>
        </w:rPr>
        <w:t>定期</w:t>
      </w:r>
      <w:r>
        <w:rPr>
          <w:rStyle w:val="13"/>
          <w:rFonts w:hint="eastAsia" w:ascii="宋体" w:hAnsi="宋体" w:eastAsia="宋体" w:cs="宋体"/>
          <w:sz w:val="24"/>
          <w:szCs w:val="24"/>
          <w:lang w:val="en-US" w:eastAsia="zh-CN"/>
        </w:rPr>
        <w:t>进行维护保养</w:t>
      </w:r>
      <w:r>
        <w:rPr>
          <w:rStyle w:val="13"/>
          <w:rFonts w:hint="eastAsia" w:ascii="宋体" w:hAnsi="宋体" w:eastAsia="宋体" w:cs="宋体"/>
          <w:sz w:val="24"/>
          <w:szCs w:val="24"/>
        </w:rPr>
        <w:t>，</w:t>
      </w:r>
      <w:r>
        <w:rPr>
          <w:rStyle w:val="13"/>
          <w:rFonts w:hint="eastAsia" w:ascii="宋体" w:hAnsi="宋体" w:eastAsia="宋体" w:cs="宋体"/>
          <w:sz w:val="24"/>
          <w:szCs w:val="24"/>
          <w:lang w:val="en-US" w:eastAsia="zh-CN"/>
        </w:rPr>
        <w:t>保证两校区会堂舞台设备性能良好</w:t>
      </w:r>
      <w:r>
        <w:rPr>
          <w:rStyle w:val="13"/>
          <w:rFonts w:hint="eastAsia" w:ascii="宋体" w:hAnsi="宋体" w:eastAsia="宋体" w:cs="宋体"/>
          <w:sz w:val="24"/>
          <w:szCs w:val="24"/>
        </w:rPr>
        <w:t>、安全运行。</w:t>
      </w:r>
    </w:p>
    <w:p w14:paraId="70CE36B0">
      <w:pPr>
        <w:pStyle w:val="14"/>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学校与维保商签订一年期服务合同，合同有效期为一年 。</w:t>
      </w:r>
    </w:p>
    <w:p w14:paraId="37028658">
      <w:pPr>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Autospacing="0" w:line="460" w:lineRule="atLeast"/>
        <w:ind w:left="0" w:firstLine="480" w:firstLineChars="200"/>
        <w:jc w:val="left"/>
        <w:textAlignment w:val="auto"/>
        <w:rPr>
          <w:rFonts w:hint="eastAsia"/>
          <w:b/>
          <w:bCs/>
          <w:sz w:val="24"/>
          <w:szCs w:val="24"/>
        </w:rPr>
      </w:pPr>
      <w:r>
        <w:rPr>
          <w:rFonts w:hint="eastAsia" w:ascii="宋体" w:hAnsi="宋体" w:eastAsia="宋体" w:cs="宋体"/>
          <w:sz w:val="24"/>
          <w:szCs w:val="24"/>
        </w:rPr>
        <w:t>维保费用资金来源：由</w:t>
      </w:r>
      <w:r>
        <w:rPr>
          <w:rFonts w:hint="eastAsia" w:ascii="宋体" w:hAnsi="宋体" w:eastAsia="宋体" w:cs="宋体"/>
          <w:sz w:val="24"/>
          <w:szCs w:val="24"/>
          <w:lang w:val="en-US" w:eastAsia="zh-CN"/>
        </w:rPr>
        <w:t>学校</w:t>
      </w:r>
      <w:r>
        <w:rPr>
          <w:rFonts w:hint="eastAsia" w:ascii="宋体" w:hAnsi="宋体" w:eastAsia="宋体" w:cs="宋体"/>
          <w:sz w:val="24"/>
          <w:szCs w:val="24"/>
        </w:rPr>
        <w:t>支付维保费用，合同期内，</w:t>
      </w:r>
      <w:r>
        <w:rPr>
          <w:rFonts w:hint="eastAsia" w:ascii="宋体" w:hAnsi="宋体" w:eastAsia="宋体" w:cs="宋体"/>
          <w:sz w:val="24"/>
          <w:szCs w:val="24"/>
          <w:lang w:val="en-US" w:eastAsia="zh-CN"/>
        </w:rPr>
        <w:t>两校区会堂设备</w:t>
      </w:r>
      <w:r>
        <w:rPr>
          <w:rFonts w:hint="eastAsia" w:ascii="宋体" w:hAnsi="宋体" w:eastAsia="宋体" w:cs="宋体"/>
          <w:sz w:val="24"/>
          <w:szCs w:val="24"/>
        </w:rPr>
        <w:t>正常使用的前提下，维</w:t>
      </w:r>
      <w:r>
        <w:rPr>
          <w:rFonts w:hint="eastAsia" w:ascii="宋体" w:hAnsi="宋体" w:eastAsia="宋体" w:cs="宋体"/>
          <w:sz w:val="24"/>
          <w:szCs w:val="24"/>
          <w:lang w:val="en-US" w:eastAsia="zh-CN"/>
        </w:rPr>
        <w:t>修维</w:t>
      </w:r>
      <w:r>
        <w:rPr>
          <w:rFonts w:hint="eastAsia" w:ascii="宋体" w:hAnsi="宋体" w:eastAsia="宋体" w:cs="宋体"/>
          <w:sz w:val="24"/>
          <w:szCs w:val="24"/>
        </w:rPr>
        <w:t>保</w:t>
      </w:r>
      <w:r>
        <w:rPr>
          <w:rFonts w:hint="eastAsia" w:cs="宋体"/>
          <w:sz w:val="24"/>
          <w:szCs w:val="24"/>
          <w:lang w:val="en-US" w:eastAsia="zh-CN"/>
        </w:rPr>
        <w:t>总计</w:t>
      </w:r>
      <w:r>
        <w:rPr>
          <w:rFonts w:hint="eastAsia" w:ascii="宋体" w:hAnsi="宋体" w:eastAsia="宋体" w:cs="宋体"/>
          <w:sz w:val="24"/>
          <w:szCs w:val="24"/>
        </w:rPr>
        <w:t>费用不超过</w:t>
      </w:r>
      <w:r>
        <w:rPr>
          <w:rFonts w:hint="eastAsia" w:ascii="宋体" w:hAnsi="宋体" w:eastAsia="宋体" w:cs="宋体"/>
          <w:sz w:val="24"/>
          <w:szCs w:val="24"/>
          <w:lang w:val="en-US" w:eastAsia="zh-CN"/>
        </w:rPr>
        <w:t>1</w:t>
      </w:r>
      <w:r>
        <w:rPr>
          <w:rFonts w:hint="eastAsia" w:cs="宋体"/>
          <w:sz w:val="24"/>
          <w:szCs w:val="24"/>
          <w:lang w:val="en-US" w:eastAsia="zh-CN"/>
        </w:rPr>
        <w:t>3925</w:t>
      </w:r>
      <w:r>
        <w:rPr>
          <w:rFonts w:hint="eastAsia" w:ascii="宋体" w:hAnsi="宋体" w:eastAsia="宋体" w:cs="宋体"/>
          <w:sz w:val="24"/>
          <w:szCs w:val="24"/>
        </w:rPr>
        <w:t>元</w:t>
      </w:r>
      <w:r>
        <w:rPr>
          <w:rFonts w:hint="eastAsia" w:cs="宋体"/>
          <w:sz w:val="24"/>
          <w:szCs w:val="24"/>
          <w:lang w:eastAsia="zh-CN"/>
        </w:rPr>
        <w:t>，</w:t>
      </w:r>
      <w:r>
        <w:rPr>
          <w:rFonts w:hint="eastAsia" w:ascii="宋体" w:hAnsi="宋体" w:eastAsia="宋体" w:cs="宋体"/>
          <w:sz w:val="24"/>
          <w:szCs w:val="24"/>
          <w:lang w:val="en-US" w:eastAsia="zh-CN"/>
        </w:rPr>
        <w:t>其中维修不超7425元</w:t>
      </w:r>
      <w:r>
        <w:rPr>
          <w:rFonts w:hint="eastAsia" w:cs="宋体"/>
          <w:sz w:val="24"/>
          <w:szCs w:val="24"/>
          <w:lang w:val="en-US" w:eastAsia="zh-CN"/>
        </w:rPr>
        <w:t>，</w:t>
      </w:r>
      <w:r>
        <w:rPr>
          <w:rFonts w:hint="eastAsia" w:ascii="宋体" w:hAnsi="宋体" w:eastAsia="宋体" w:cs="宋体"/>
          <w:sz w:val="24"/>
          <w:szCs w:val="24"/>
        </w:rPr>
        <w:t>据实结算</w:t>
      </w:r>
      <w:r>
        <w:rPr>
          <w:rFonts w:hint="eastAsia" w:cs="宋体"/>
          <w:sz w:val="24"/>
          <w:szCs w:val="24"/>
          <w:lang w:eastAsia="zh-CN"/>
        </w:rPr>
        <w:t>；</w:t>
      </w:r>
      <w:r>
        <w:rPr>
          <w:rFonts w:hint="default" w:ascii="宋体" w:hAnsi="宋体" w:eastAsia="宋体" w:cs="宋体"/>
          <w:sz w:val="24"/>
          <w:szCs w:val="24"/>
          <w:lang w:val="en-US" w:eastAsia="zh-CN"/>
        </w:rPr>
        <w:t>维保费用预算总额</w:t>
      </w:r>
      <w:r>
        <w:rPr>
          <w:rFonts w:hint="eastAsia" w:ascii="宋体" w:hAnsi="宋体" w:eastAsia="宋体" w:cs="宋体"/>
          <w:sz w:val="24"/>
          <w:szCs w:val="24"/>
          <w:lang w:val="en-US" w:eastAsia="zh-CN"/>
        </w:rPr>
        <w:t>不超过</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6500</w:t>
      </w:r>
      <w:r>
        <w:rPr>
          <w:rFonts w:hint="default" w:ascii="宋体" w:hAnsi="宋体" w:eastAsia="宋体" w:cs="宋体"/>
          <w:sz w:val="24"/>
          <w:szCs w:val="24"/>
          <w:lang w:val="en-US" w:eastAsia="zh-CN"/>
        </w:rPr>
        <w:t>元</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单次维保费用</w:t>
      </w:r>
      <w:r>
        <w:rPr>
          <w:rFonts w:hint="eastAsia" w:ascii="宋体" w:hAnsi="宋体" w:eastAsia="宋体" w:cs="宋体"/>
          <w:sz w:val="24"/>
          <w:szCs w:val="24"/>
          <w:lang w:val="en-US" w:eastAsia="zh-CN"/>
        </w:rPr>
        <w:t>固定</w:t>
      </w:r>
      <w:r>
        <w:rPr>
          <w:rFonts w:hint="default" w:ascii="宋体" w:hAnsi="宋体" w:eastAsia="宋体" w:cs="宋体"/>
          <w:sz w:val="24"/>
          <w:szCs w:val="24"/>
          <w:lang w:val="en-US" w:eastAsia="zh-CN"/>
        </w:rPr>
        <w:t>为 500 元</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其中南湖会堂维保不超过 11 次，首义会堂不超过 2 次，最终</w:t>
      </w:r>
      <w:r>
        <w:rPr>
          <w:rFonts w:hint="eastAsia" w:ascii="宋体" w:hAnsi="宋体" w:eastAsia="宋体" w:cs="宋体"/>
          <w:sz w:val="24"/>
          <w:szCs w:val="24"/>
          <w:lang w:val="en-US" w:eastAsia="zh-CN"/>
        </w:rPr>
        <w:t>维保服务费以</w:t>
      </w:r>
      <w:r>
        <w:rPr>
          <w:rFonts w:hint="default" w:ascii="宋体" w:hAnsi="宋体" w:eastAsia="宋体" w:cs="宋体"/>
          <w:sz w:val="24"/>
          <w:szCs w:val="24"/>
          <w:lang w:val="en-US" w:eastAsia="zh-CN"/>
        </w:rPr>
        <w:t>实际维保次数</w:t>
      </w:r>
      <w:r>
        <w:rPr>
          <w:rFonts w:hint="eastAsia" w:ascii="宋体" w:hAnsi="宋体" w:eastAsia="宋体" w:cs="宋体"/>
          <w:sz w:val="24"/>
          <w:szCs w:val="24"/>
          <w:lang w:val="en-US" w:eastAsia="zh-CN"/>
        </w:rPr>
        <w:t>进行结</w:t>
      </w:r>
      <w:r>
        <w:rPr>
          <w:rFonts w:hint="default" w:ascii="宋体" w:hAnsi="宋体" w:eastAsia="宋体" w:cs="宋体"/>
          <w:sz w:val="24"/>
          <w:szCs w:val="24"/>
          <w:lang w:val="en-US" w:eastAsia="zh-CN"/>
        </w:rPr>
        <w:t>算。</w:t>
      </w:r>
      <w:r>
        <w:rPr>
          <w:rFonts w:hint="eastAsia" w:ascii="宋体" w:hAnsi="宋体" w:eastAsia="宋体" w:cs="宋体"/>
          <w:sz w:val="24"/>
          <w:szCs w:val="24"/>
          <w:lang w:val="en-US" w:eastAsia="zh-CN"/>
        </w:rPr>
        <w:t>总计</w:t>
      </w:r>
      <w:r>
        <w:rPr>
          <w:rFonts w:hint="eastAsia" w:cs="宋体"/>
          <w:sz w:val="24"/>
          <w:szCs w:val="24"/>
          <w:lang w:val="en-US" w:eastAsia="zh-CN"/>
        </w:rPr>
        <w:t>费用</w:t>
      </w:r>
      <w:r>
        <w:rPr>
          <w:rFonts w:hint="eastAsia" w:ascii="宋体" w:hAnsi="宋体" w:eastAsia="宋体" w:cs="宋体"/>
          <w:sz w:val="24"/>
          <w:szCs w:val="24"/>
        </w:rPr>
        <w:t>超过</w:t>
      </w:r>
      <w:r>
        <w:rPr>
          <w:rFonts w:hint="eastAsia" w:ascii="宋体" w:hAnsi="宋体" w:eastAsia="宋体" w:cs="宋体"/>
          <w:sz w:val="24"/>
          <w:szCs w:val="24"/>
          <w:lang w:val="en-US" w:eastAsia="zh-CN"/>
        </w:rPr>
        <w:t>1</w:t>
      </w:r>
      <w:r>
        <w:rPr>
          <w:rFonts w:hint="eastAsia" w:cs="宋体"/>
          <w:sz w:val="24"/>
          <w:szCs w:val="24"/>
          <w:lang w:val="en-US" w:eastAsia="zh-CN"/>
        </w:rPr>
        <w:t>3925</w:t>
      </w:r>
      <w:r>
        <w:rPr>
          <w:rFonts w:hint="eastAsia" w:ascii="宋体" w:hAnsi="宋体" w:eastAsia="宋体" w:cs="宋体"/>
          <w:sz w:val="24"/>
          <w:szCs w:val="24"/>
        </w:rPr>
        <w:t>元按</w:t>
      </w:r>
      <w:r>
        <w:rPr>
          <w:rFonts w:hint="eastAsia" w:cs="宋体"/>
          <w:sz w:val="24"/>
          <w:szCs w:val="24"/>
          <w:lang w:val="en-US" w:eastAsia="zh-CN"/>
        </w:rPr>
        <w:t>13925</w:t>
      </w:r>
      <w:r>
        <w:rPr>
          <w:rFonts w:hint="eastAsia" w:ascii="宋体" w:hAnsi="宋体" w:eastAsia="宋体" w:cs="宋体"/>
          <w:sz w:val="24"/>
          <w:szCs w:val="24"/>
        </w:rPr>
        <w:t xml:space="preserve">元结算。 </w:t>
      </w:r>
    </w:p>
    <w:p w14:paraId="18B2C541">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w:t>
      </w:r>
      <w:r>
        <w:rPr>
          <w:rFonts w:hint="eastAsia" w:ascii="宋体" w:hAnsi="宋体" w:cs="宋体"/>
          <w:i w:val="0"/>
          <w:iCs w:val="0"/>
          <w:caps w:val="0"/>
          <w:spacing w:val="0"/>
          <w:kern w:val="0"/>
          <w:sz w:val="24"/>
          <w:szCs w:val="24"/>
          <w:shd w:val="clear" w:color="auto" w:fill="auto"/>
          <w:lang w:val="en-US" w:eastAsia="zh-CN" w:bidi="ar"/>
        </w:rPr>
        <w:t>修</w:t>
      </w:r>
      <w:r>
        <w:rPr>
          <w:rFonts w:hint="eastAsia" w:ascii="宋体" w:hAnsi="宋体" w:eastAsia="宋体" w:cs="宋体"/>
          <w:i w:val="0"/>
          <w:iCs w:val="0"/>
          <w:caps w:val="0"/>
          <w:spacing w:val="0"/>
          <w:kern w:val="0"/>
          <w:sz w:val="24"/>
          <w:szCs w:val="24"/>
          <w:shd w:val="clear" w:color="auto" w:fill="auto"/>
          <w:lang w:val="en-US" w:eastAsia="zh-CN" w:bidi="ar"/>
        </w:rPr>
        <w:t>范围​</w:t>
      </w:r>
    </w:p>
    <w:p w14:paraId="53AA1A33">
      <w:pPr>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可编程控制光束灯9台：不受控制台指令控制</w:t>
      </w:r>
      <w:r>
        <w:rPr>
          <w:rFonts w:hint="eastAsia" w:ascii="宋体" w:hAnsi="宋体" w:cs="宋体"/>
          <w:i w:val="0"/>
          <w:iCs w:val="0"/>
          <w:caps w:val="0"/>
          <w:spacing w:val="0"/>
          <w:kern w:val="0"/>
          <w:sz w:val="24"/>
          <w:szCs w:val="24"/>
          <w:shd w:val="clear" w:color="auto" w:fill="auto"/>
          <w:lang w:val="en-US" w:eastAsia="zh-CN" w:bidi="ar"/>
        </w:rPr>
        <w:t>、</w:t>
      </w:r>
      <w:r>
        <w:rPr>
          <w:rFonts w:hint="eastAsia" w:ascii="宋体" w:hAnsi="宋体" w:eastAsia="宋体" w:cs="宋体"/>
          <w:i w:val="0"/>
          <w:iCs w:val="0"/>
          <w:caps w:val="0"/>
          <w:spacing w:val="0"/>
          <w:kern w:val="0"/>
          <w:sz w:val="24"/>
          <w:szCs w:val="24"/>
          <w:shd w:val="clear" w:color="auto" w:fill="auto"/>
          <w:lang w:val="en-US" w:eastAsia="zh-CN" w:bidi="ar"/>
        </w:rPr>
        <w:t>无法点亮</w:t>
      </w:r>
      <w:r>
        <w:rPr>
          <w:rFonts w:hint="eastAsia" w:ascii="宋体" w:hAnsi="宋体" w:cs="宋体"/>
          <w:i w:val="0"/>
          <w:iCs w:val="0"/>
          <w:caps w:val="0"/>
          <w:spacing w:val="0"/>
          <w:kern w:val="0"/>
          <w:sz w:val="24"/>
          <w:szCs w:val="24"/>
          <w:shd w:val="clear" w:color="auto" w:fill="auto"/>
          <w:lang w:val="en-US" w:eastAsia="zh-CN" w:bidi="ar"/>
        </w:rPr>
        <w:t>，维修单价不超过585元/台。</w:t>
      </w:r>
    </w:p>
    <w:p w14:paraId="0461B175">
      <w:pPr>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可编程控制变色了LED帕灯9台：不受控制台指令控制、无法点亮</w:t>
      </w:r>
      <w:r>
        <w:rPr>
          <w:rFonts w:hint="eastAsia" w:ascii="宋体" w:hAnsi="宋体" w:cs="宋体"/>
          <w:i w:val="0"/>
          <w:iCs w:val="0"/>
          <w:caps w:val="0"/>
          <w:spacing w:val="0"/>
          <w:kern w:val="0"/>
          <w:sz w:val="24"/>
          <w:szCs w:val="24"/>
          <w:shd w:val="clear" w:color="auto" w:fill="auto"/>
          <w:lang w:val="en-US" w:eastAsia="zh-CN" w:bidi="ar"/>
        </w:rPr>
        <w:t>，维修单价不超过240元/台</w:t>
      </w:r>
    </w:p>
    <w:p w14:paraId="55E6C333">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Chars="0"/>
        <w:jc w:val="left"/>
        <w:textAlignment w:val="auto"/>
        <w:rPr>
          <w:rFonts w:hint="default" w:ascii="宋体" w:hAnsi="宋体" w:eastAsia="宋体" w:cs="宋体"/>
          <w:i w:val="0"/>
          <w:iCs w:val="0"/>
          <w:caps w:val="0"/>
          <w:spacing w:val="0"/>
          <w:kern w:val="0"/>
          <w:sz w:val="24"/>
          <w:szCs w:val="24"/>
          <w:shd w:val="clear" w:color="auto" w:fill="auto"/>
          <w:lang w:val="en-US" w:eastAsia="zh-CN" w:bidi="ar"/>
        </w:rPr>
      </w:pPr>
      <w:r>
        <w:rPr>
          <w:rFonts w:hint="eastAsia" w:ascii="宋体" w:hAnsi="宋体" w:cs="宋体"/>
          <w:i w:val="0"/>
          <w:iCs w:val="0"/>
          <w:caps w:val="0"/>
          <w:spacing w:val="0"/>
          <w:kern w:val="0"/>
          <w:sz w:val="24"/>
          <w:szCs w:val="24"/>
          <w:shd w:val="clear" w:color="auto" w:fill="auto"/>
          <w:lang w:val="en-US" w:eastAsia="zh-CN" w:bidi="ar"/>
        </w:rPr>
        <w:t>另：</w:t>
      </w:r>
      <w:r>
        <w:rPr>
          <w:rFonts w:ascii="Segoe UI" w:hAnsi="Segoe UI" w:eastAsia="Segoe UI" w:cs="Segoe UI"/>
          <w:i w:val="0"/>
          <w:iCs w:val="0"/>
          <w:caps w:val="0"/>
          <w:spacing w:val="0"/>
          <w:sz w:val="24"/>
          <w:szCs w:val="24"/>
          <w:shd w:val="clear" w:fill="FFFFFF"/>
        </w:rPr>
        <w:t>维修后的灯具提供一年质保服务，质保期内若出现相同故障，将免费进行维修，不再收取任何费用。</w:t>
      </w:r>
    </w:p>
    <w:p w14:paraId="1DE0CC82">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维保范围</w:t>
      </w:r>
    </w:p>
    <w:p w14:paraId="6E2CE8EE">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舞台机械系统：包含吊杆、</w:t>
      </w:r>
      <w:r>
        <w:rPr>
          <w:rFonts w:hint="eastAsia" w:ascii="宋体" w:hAnsi="宋体" w:cs="宋体"/>
          <w:i w:val="0"/>
          <w:iCs w:val="0"/>
          <w:caps w:val="0"/>
          <w:spacing w:val="0"/>
          <w:kern w:val="0"/>
          <w:sz w:val="24"/>
          <w:szCs w:val="24"/>
          <w:shd w:val="clear" w:color="auto" w:fill="auto"/>
          <w:lang w:val="en-US" w:eastAsia="zh-CN" w:bidi="ar"/>
        </w:rPr>
        <w:t>开幕机</w:t>
      </w:r>
      <w:r>
        <w:rPr>
          <w:rFonts w:hint="eastAsia" w:ascii="宋体" w:hAnsi="宋体" w:eastAsia="宋体" w:cs="宋体"/>
          <w:i w:val="0"/>
          <w:iCs w:val="0"/>
          <w:caps w:val="0"/>
          <w:spacing w:val="0"/>
          <w:kern w:val="0"/>
          <w:sz w:val="24"/>
          <w:szCs w:val="24"/>
          <w:shd w:val="clear" w:color="auto" w:fill="auto"/>
          <w:lang w:val="en-US" w:eastAsia="zh-CN" w:bidi="ar"/>
        </w:rPr>
        <w:t>等设备，检修机械传动部件、控制系统，确保设备升降、</w:t>
      </w:r>
      <w:r>
        <w:rPr>
          <w:rFonts w:hint="eastAsia" w:ascii="宋体" w:hAnsi="宋体" w:cs="宋体"/>
          <w:i w:val="0"/>
          <w:iCs w:val="0"/>
          <w:caps w:val="0"/>
          <w:spacing w:val="0"/>
          <w:kern w:val="0"/>
          <w:sz w:val="24"/>
          <w:szCs w:val="24"/>
          <w:shd w:val="clear" w:color="auto" w:fill="auto"/>
          <w:lang w:val="en-US" w:eastAsia="zh-CN" w:bidi="ar"/>
        </w:rPr>
        <w:t>开闭幕</w:t>
      </w:r>
      <w:r>
        <w:rPr>
          <w:rFonts w:hint="eastAsia" w:ascii="宋体" w:hAnsi="宋体" w:eastAsia="宋体" w:cs="宋体"/>
          <w:i w:val="0"/>
          <w:iCs w:val="0"/>
          <w:caps w:val="0"/>
          <w:spacing w:val="0"/>
          <w:kern w:val="0"/>
          <w:sz w:val="24"/>
          <w:szCs w:val="24"/>
          <w:shd w:val="clear" w:color="auto" w:fill="auto"/>
          <w:lang w:val="en-US" w:eastAsia="zh-CN" w:bidi="ar"/>
        </w:rPr>
        <w:t>平稳，定位精准。​</w:t>
      </w:r>
    </w:p>
    <w:p w14:paraId="526C60CD">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灯光系统：涵盖舞台面光、侧光、顶光、追光等灯具，以及调光台控制设备，进行灯具清洁、线路检测、调光编程调试。​</w:t>
      </w:r>
    </w:p>
    <w:p w14:paraId="021DFECA">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音响系统：对主扩音箱、返送音箱、调音台、功放、话筒等设备进行维护，检查音质效果、信号传输稳定性，调试声场覆盖。​</w:t>
      </w:r>
    </w:p>
    <w:p w14:paraId="41CE0F63">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幕布系统：检修大幕、二幕、天幕等各类幕布，包括幕布轨道、滑轮、电机等部件，确保幕布升降、开合顺畅。​</w:t>
      </w:r>
    </w:p>
    <w:p w14:paraId="3C7039BB">
      <w:pPr>
        <w:keepNext w:val="0"/>
        <w:keepLines w:val="0"/>
        <w:pageBreakBefore w:val="0"/>
        <w:widowControl/>
        <w:numPr>
          <w:ilvl w:val="0"/>
          <w:numId w:val="3"/>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cs="宋体"/>
          <w:i w:val="0"/>
          <w:iCs w:val="0"/>
          <w:caps w:val="0"/>
          <w:spacing w:val="0"/>
          <w:kern w:val="0"/>
          <w:sz w:val="24"/>
          <w:szCs w:val="24"/>
          <w:shd w:val="clear" w:color="auto" w:fill="auto"/>
          <w:lang w:val="en-US" w:eastAsia="zh-CN" w:bidi="ar"/>
        </w:rPr>
        <w:t>其他</w:t>
      </w:r>
      <w:r>
        <w:rPr>
          <w:rFonts w:hint="eastAsia" w:ascii="宋体" w:hAnsi="宋体" w:eastAsia="宋体" w:cs="宋体"/>
          <w:i w:val="0"/>
          <w:iCs w:val="0"/>
          <w:caps w:val="0"/>
          <w:spacing w:val="0"/>
          <w:kern w:val="0"/>
          <w:sz w:val="24"/>
          <w:szCs w:val="24"/>
          <w:shd w:val="clear" w:color="auto" w:fill="auto"/>
          <w:lang w:val="en-US" w:eastAsia="zh-CN" w:bidi="ar"/>
        </w:rPr>
        <w:t>设备：如</w:t>
      </w:r>
      <w:r>
        <w:rPr>
          <w:rFonts w:hint="eastAsia" w:ascii="宋体" w:hAnsi="宋体" w:cs="宋体"/>
          <w:i w:val="0"/>
          <w:iCs w:val="0"/>
          <w:caps w:val="0"/>
          <w:spacing w:val="0"/>
          <w:kern w:val="0"/>
          <w:sz w:val="24"/>
          <w:szCs w:val="24"/>
          <w:shd w:val="clear" w:color="auto" w:fill="auto"/>
          <w:lang w:val="en-US" w:eastAsia="zh-CN" w:bidi="ar"/>
        </w:rPr>
        <w:t>LED屏幕、</w:t>
      </w:r>
      <w:r>
        <w:rPr>
          <w:rFonts w:hint="eastAsia" w:ascii="宋体" w:hAnsi="宋体" w:eastAsia="宋体" w:cs="宋体"/>
          <w:i w:val="0"/>
          <w:iCs w:val="0"/>
          <w:caps w:val="0"/>
          <w:spacing w:val="0"/>
          <w:kern w:val="0"/>
          <w:sz w:val="24"/>
          <w:szCs w:val="24"/>
          <w:shd w:val="clear" w:color="auto" w:fill="auto"/>
          <w:lang w:val="en-US" w:eastAsia="zh-CN" w:bidi="ar"/>
        </w:rPr>
        <w:t>烟雾机等，检查设备功能，清理内部积垢，保障</w:t>
      </w:r>
      <w:r>
        <w:rPr>
          <w:rFonts w:hint="eastAsia" w:ascii="宋体" w:hAnsi="宋体" w:cs="宋体"/>
          <w:i w:val="0"/>
          <w:iCs w:val="0"/>
          <w:caps w:val="0"/>
          <w:spacing w:val="0"/>
          <w:kern w:val="0"/>
          <w:sz w:val="24"/>
          <w:szCs w:val="24"/>
          <w:shd w:val="clear" w:color="auto" w:fill="auto"/>
          <w:lang w:val="en-US" w:eastAsia="zh-CN" w:bidi="ar"/>
        </w:rPr>
        <w:t>显示</w:t>
      </w:r>
      <w:r>
        <w:rPr>
          <w:rFonts w:hint="eastAsia" w:ascii="宋体" w:hAnsi="宋体" w:eastAsia="宋体" w:cs="宋体"/>
          <w:i w:val="0"/>
          <w:iCs w:val="0"/>
          <w:caps w:val="0"/>
          <w:spacing w:val="0"/>
          <w:kern w:val="0"/>
          <w:sz w:val="24"/>
          <w:szCs w:val="24"/>
          <w:shd w:val="clear" w:color="auto" w:fill="auto"/>
          <w:lang w:val="en-US" w:eastAsia="zh-CN" w:bidi="ar"/>
        </w:rPr>
        <w:t>效果正常</w:t>
      </w:r>
      <w:r>
        <w:rPr>
          <w:rFonts w:hint="eastAsia" w:ascii="宋体" w:hAnsi="宋体" w:cs="宋体"/>
          <w:i w:val="0"/>
          <w:iCs w:val="0"/>
          <w:caps w:val="0"/>
          <w:spacing w:val="0"/>
          <w:kern w:val="0"/>
          <w:sz w:val="24"/>
          <w:szCs w:val="24"/>
          <w:shd w:val="clear" w:color="auto" w:fill="auto"/>
          <w:lang w:val="en-US" w:eastAsia="zh-CN" w:bidi="ar"/>
        </w:rPr>
        <w:t>，运行正常</w:t>
      </w:r>
      <w:r>
        <w:rPr>
          <w:rFonts w:hint="eastAsia" w:ascii="宋体" w:hAnsi="宋体" w:eastAsia="宋体" w:cs="宋体"/>
          <w:i w:val="0"/>
          <w:iCs w:val="0"/>
          <w:caps w:val="0"/>
          <w:spacing w:val="0"/>
          <w:kern w:val="0"/>
          <w:sz w:val="24"/>
          <w:szCs w:val="24"/>
          <w:shd w:val="clear" w:color="auto" w:fill="auto"/>
          <w:lang w:val="en-US" w:eastAsia="zh-CN" w:bidi="ar"/>
        </w:rPr>
        <w:t>。​</w:t>
      </w:r>
    </w:p>
    <w:p w14:paraId="47F7EB75">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default"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维保</w:t>
      </w:r>
      <w:r>
        <w:rPr>
          <w:rFonts w:hint="default" w:ascii="宋体" w:hAnsi="宋体" w:eastAsia="宋体" w:cs="宋体"/>
          <w:i w:val="0"/>
          <w:iCs w:val="0"/>
          <w:caps w:val="0"/>
          <w:spacing w:val="0"/>
          <w:kern w:val="0"/>
          <w:sz w:val="24"/>
          <w:szCs w:val="24"/>
          <w:shd w:val="clear" w:color="auto" w:fill="auto"/>
          <w:lang w:val="en-US" w:eastAsia="zh-CN" w:bidi="ar"/>
        </w:rPr>
        <w:t>标准</w:t>
      </w:r>
    </w:p>
    <w:p w14:paraId="74FC333B">
      <w:pPr>
        <w:pStyle w:val="4"/>
        <w:keepNext w:val="0"/>
        <w:keepLines w:val="0"/>
        <w:pageBreakBefore w:val="0"/>
        <w:widowControl/>
        <w:numPr>
          <w:ilvl w:val="0"/>
          <w:numId w:val="4"/>
        </w:numPr>
        <w:suppressLineNumbers w:val="0"/>
        <w:pBdr>
          <w:bottom w:val="none" w:color="auto" w:sz="0" w:space="0"/>
        </w:pBdr>
        <w:shd w:val="clear" w:fill="FFFFFF"/>
        <w:kinsoku/>
        <w:wordWrap/>
        <w:overflowPunct/>
        <w:topLinePunct w:val="0"/>
        <w:autoSpaceDE/>
        <w:autoSpaceDN/>
        <w:bidi w:val="0"/>
        <w:adjustRightInd/>
        <w:snapToGrid w:val="0"/>
        <w:spacing w:beforeAutospacing="0" w:afterAutospacing="0" w:line="240" w:lineRule="auto"/>
        <w:ind w:left="425" w:leftChars="0" w:hanging="425" w:firstLineChars="0"/>
        <w:textAlignment w:val="auto"/>
        <w:rPr>
          <w:rFonts w:hint="default" w:ascii="Segoe UI" w:hAnsi="Segoe UI" w:eastAsia="Segoe UI" w:cs="Segoe UI"/>
          <w:b w:val="0"/>
          <w:bCs w:val="0"/>
          <w:i w:val="0"/>
          <w:iCs w:val="0"/>
          <w:caps w:val="0"/>
          <w:color w:val="auto"/>
          <w:spacing w:val="0"/>
          <w:sz w:val="24"/>
          <w:szCs w:val="24"/>
        </w:rPr>
      </w:pPr>
      <w:r>
        <w:rPr>
          <w:rFonts w:hint="default" w:ascii="Segoe UI" w:hAnsi="Segoe UI" w:eastAsia="Segoe UI" w:cs="Segoe UI"/>
          <w:b w:val="0"/>
          <w:bCs w:val="0"/>
          <w:i w:val="0"/>
          <w:iCs w:val="0"/>
          <w:caps w:val="0"/>
          <w:color w:val="auto"/>
          <w:spacing w:val="0"/>
          <w:sz w:val="24"/>
          <w:szCs w:val="24"/>
          <w:shd w:val="clear" w:fill="FFFFFF"/>
        </w:rPr>
        <w:t> </w:t>
      </w:r>
      <w:r>
        <w:rPr>
          <w:rStyle w:val="10"/>
          <w:rFonts w:hint="default" w:ascii="Segoe UI" w:hAnsi="Segoe UI" w:eastAsia="Segoe UI" w:cs="Segoe UI"/>
          <w:b w:val="0"/>
          <w:bCs w:val="0"/>
          <w:i w:val="0"/>
          <w:iCs w:val="0"/>
          <w:caps w:val="0"/>
          <w:color w:val="auto"/>
          <w:spacing w:val="0"/>
          <w:sz w:val="24"/>
          <w:szCs w:val="24"/>
          <w:shd w:val="clear" w:fill="FFFFFF"/>
        </w:rPr>
        <w:t xml:space="preserve">LED </w:t>
      </w:r>
      <w:r>
        <w:rPr>
          <w:rStyle w:val="10"/>
          <w:rFonts w:hint="eastAsia" w:ascii="Segoe UI" w:hAnsi="Segoe UI" w:cs="Segoe UI"/>
          <w:b w:val="0"/>
          <w:bCs w:val="0"/>
          <w:i w:val="0"/>
          <w:iCs w:val="0"/>
          <w:caps w:val="0"/>
          <w:color w:val="auto"/>
          <w:spacing w:val="0"/>
          <w:sz w:val="24"/>
          <w:szCs w:val="24"/>
          <w:shd w:val="clear" w:fill="FFFFFF"/>
          <w:lang w:eastAsia="zh-CN"/>
        </w:rPr>
        <w:t>、</w:t>
      </w:r>
      <w:r>
        <w:rPr>
          <w:rStyle w:val="10"/>
          <w:rFonts w:hint="default" w:ascii="Segoe UI" w:hAnsi="Segoe UI" w:eastAsia="Segoe UI" w:cs="Segoe UI"/>
          <w:b w:val="0"/>
          <w:bCs w:val="0"/>
          <w:i w:val="0"/>
          <w:iCs w:val="0"/>
          <w:caps w:val="0"/>
          <w:color w:val="auto"/>
          <w:spacing w:val="0"/>
          <w:sz w:val="24"/>
          <w:szCs w:val="24"/>
          <w:shd w:val="clear" w:fill="FFFFFF"/>
        </w:rPr>
        <w:t>灯光系统</w:t>
      </w:r>
    </w:p>
    <w:tbl>
      <w:tblPr>
        <w:tblStyle w:val="8"/>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528"/>
        <w:gridCol w:w="3791"/>
        <w:gridCol w:w="1207"/>
        <w:gridCol w:w="1917"/>
      </w:tblGrid>
      <w:tr w14:paraId="77C8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528" w:type="dxa"/>
            <w:shd w:val="clear" w:color="auto" w:fill="auto"/>
            <w:tcMar>
              <w:top w:w="180" w:type="dxa"/>
              <w:left w:w="270" w:type="dxa"/>
              <w:bottom w:w="180" w:type="dxa"/>
              <w:right w:w="270" w:type="dxa"/>
            </w:tcMar>
            <w:vAlign w:val="center"/>
          </w:tcPr>
          <w:p w14:paraId="47F8AD38">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维保项目</w:t>
            </w:r>
          </w:p>
        </w:tc>
        <w:tc>
          <w:tcPr>
            <w:tcW w:w="3791" w:type="dxa"/>
            <w:shd w:val="clear" w:color="auto" w:fill="auto"/>
            <w:tcMar>
              <w:top w:w="180" w:type="dxa"/>
              <w:left w:w="270" w:type="dxa"/>
              <w:bottom w:w="180" w:type="dxa"/>
              <w:right w:w="270" w:type="dxa"/>
            </w:tcMar>
            <w:vAlign w:val="center"/>
          </w:tcPr>
          <w:p w14:paraId="68847983">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207" w:type="dxa"/>
            <w:shd w:val="clear" w:color="auto" w:fill="auto"/>
            <w:tcMar>
              <w:top w:w="180" w:type="dxa"/>
              <w:left w:w="270" w:type="dxa"/>
              <w:bottom w:w="180" w:type="dxa"/>
              <w:right w:w="270" w:type="dxa"/>
            </w:tcMar>
            <w:vAlign w:val="center"/>
          </w:tcPr>
          <w:p w14:paraId="63A04399">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周期</w:t>
            </w:r>
          </w:p>
        </w:tc>
        <w:tc>
          <w:tcPr>
            <w:tcW w:w="1917" w:type="dxa"/>
            <w:shd w:val="clear" w:color="auto" w:fill="auto"/>
            <w:tcMar>
              <w:top w:w="180" w:type="dxa"/>
              <w:left w:w="270" w:type="dxa"/>
              <w:bottom w:w="180" w:type="dxa"/>
              <w:right w:w="270" w:type="dxa"/>
            </w:tcMar>
            <w:vAlign w:val="center"/>
          </w:tcPr>
          <w:p w14:paraId="09ABD8E6">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30C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425BF0E4">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灯具色温校准</w:t>
            </w:r>
          </w:p>
        </w:tc>
        <w:tc>
          <w:tcPr>
            <w:tcW w:w="3791" w:type="dxa"/>
            <w:shd w:val="clear" w:color="auto" w:fill="auto"/>
            <w:tcMar>
              <w:top w:w="180" w:type="dxa"/>
              <w:left w:w="270" w:type="dxa"/>
              <w:bottom w:w="180" w:type="dxa"/>
              <w:right w:w="270" w:type="dxa"/>
            </w:tcMar>
            <w:vAlign w:val="center"/>
          </w:tcPr>
          <w:p w14:paraId="36CDE54E">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色温偏差≤±500K（ISO 15032:2017）</w:t>
            </w:r>
          </w:p>
        </w:tc>
        <w:tc>
          <w:tcPr>
            <w:tcW w:w="1207" w:type="dxa"/>
            <w:shd w:val="clear" w:color="auto" w:fill="auto"/>
            <w:tcMar>
              <w:top w:w="180" w:type="dxa"/>
              <w:left w:w="270" w:type="dxa"/>
              <w:bottom w:w="180" w:type="dxa"/>
              <w:right w:w="270" w:type="dxa"/>
            </w:tcMar>
            <w:vAlign w:val="center"/>
          </w:tcPr>
          <w:p w14:paraId="12C5BA6D">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rFonts w:hint="default"/>
                <w:color w:val="auto"/>
                <w:lang w:val="en-US"/>
              </w:rPr>
            </w:pPr>
            <w:r>
              <w:rPr>
                <w:rFonts w:hint="eastAsia" w:ascii="宋体" w:hAnsi="宋体" w:cs="宋体"/>
                <w:color w:val="auto"/>
                <w:kern w:val="0"/>
                <w:sz w:val="24"/>
                <w:szCs w:val="24"/>
                <w:lang w:val="en-US" w:eastAsia="zh-CN" w:bidi="ar"/>
              </w:rPr>
              <w:t>半年/次</w:t>
            </w:r>
          </w:p>
        </w:tc>
        <w:tc>
          <w:tcPr>
            <w:tcW w:w="1917" w:type="dxa"/>
            <w:shd w:val="clear" w:color="auto" w:fill="auto"/>
            <w:tcMar>
              <w:top w:w="180" w:type="dxa"/>
              <w:left w:w="270" w:type="dxa"/>
              <w:bottom w:w="180" w:type="dxa"/>
              <w:right w:w="270" w:type="dxa"/>
            </w:tcMar>
            <w:vAlign w:val="center"/>
          </w:tcPr>
          <w:p w14:paraId="11D9EBEA">
            <w:pPr>
              <w:keepNext w:val="0"/>
              <w:keepLines w:val="0"/>
              <w:pageBreakBefore w:val="0"/>
              <w:widowControl/>
              <w:suppressLineNumbers w:val="0"/>
              <w:kinsoku/>
              <w:wordWrap/>
              <w:overflowPunct/>
              <w:topLinePunct w:val="0"/>
              <w:autoSpaceDE/>
              <w:autoSpaceDN/>
              <w:bidi w:val="0"/>
              <w:adjustRightInd/>
              <w:snapToGrid w:val="0"/>
              <w:spacing w:beforeAutospacing="0" w:afterAutospacing="0"/>
              <w:jc w:val="left"/>
              <w:textAlignment w:val="auto"/>
              <w:rPr>
                <w:color w:val="auto"/>
              </w:rPr>
            </w:pPr>
            <w:r>
              <w:rPr>
                <w:rFonts w:ascii="宋体" w:hAnsi="宋体" w:eastAsia="宋体" w:cs="宋体"/>
                <w:color w:val="auto"/>
                <w:kern w:val="0"/>
                <w:sz w:val="24"/>
                <w:szCs w:val="24"/>
                <w:lang w:val="en-US" w:eastAsia="zh-CN" w:bidi="ar"/>
              </w:rPr>
              <w:t>光谱分析仪</w:t>
            </w:r>
          </w:p>
        </w:tc>
      </w:tr>
      <w:tr w14:paraId="5F20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1ED6BE62">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防火间距检查</w:t>
            </w:r>
          </w:p>
        </w:tc>
        <w:tc>
          <w:tcPr>
            <w:tcW w:w="3791" w:type="dxa"/>
            <w:shd w:val="clear" w:color="auto" w:fill="auto"/>
            <w:tcMar>
              <w:top w:w="180" w:type="dxa"/>
              <w:left w:w="270" w:type="dxa"/>
              <w:bottom w:w="180" w:type="dxa"/>
              <w:right w:w="270" w:type="dxa"/>
            </w:tcMar>
            <w:vAlign w:val="center"/>
          </w:tcPr>
          <w:p w14:paraId="5AB6B13D">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灯具与可燃物距离≥0.5m（鄂公消〔2024〕35 号）</w:t>
            </w:r>
          </w:p>
        </w:tc>
        <w:tc>
          <w:tcPr>
            <w:tcW w:w="1207" w:type="dxa"/>
            <w:shd w:val="clear" w:color="auto" w:fill="auto"/>
            <w:tcMar>
              <w:top w:w="180" w:type="dxa"/>
              <w:left w:w="270" w:type="dxa"/>
              <w:bottom w:w="180" w:type="dxa"/>
              <w:right w:w="270" w:type="dxa"/>
            </w:tcMar>
            <w:vAlign w:val="center"/>
          </w:tcPr>
          <w:p w14:paraId="07A3B59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7" w:type="dxa"/>
            <w:shd w:val="clear" w:color="auto" w:fill="auto"/>
            <w:tcMar>
              <w:top w:w="180" w:type="dxa"/>
              <w:left w:w="270" w:type="dxa"/>
              <w:bottom w:w="180" w:type="dxa"/>
              <w:right w:w="270" w:type="dxa"/>
            </w:tcMar>
            <w:vAlign w:val="center"/>
          </w:tcPr>
          <w:p w14:paraId="3D18292D">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卷尺</w:t>
            </w:r>
          </w:p>
        </w:tc>
      </w:tr>
      <w:tr w14:paraId="7413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28" w:type="dxa"/>
            <w:shd w:val="clear" w:color="auto" w:fill="auto"/>
            <w:tcMar>
              <w:top w:w="180" w:type="dxa"/>
              <w:left w:w="270" w:type="dxa"/>
              <w:bottom w:w="180" w:type="dxa"/>
              <w:right w:w="270" w:type="dxa"/>
            </w:tcMar>
            <w:vAlign w:val="center"/>
          </w:tcPr>
          <w:p w14:paraId="2364382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791" w:type="dxa"/>
            <w:shd w:val="clear" w:color="auto" w:fill="auto"/>
            <w:tcMar>
              <w:top w:w="180" w:type="dxa"/>
              <w:left w:w="270" w:type="dxa"/>
              <w:bottom w:w="180" w:type="dxa"/>
              <w:right w:w="270" w:type="dxa"/>
            </w:tcMar>
            <w:vAlign w:val="center"/>
          </w:tcPr>
          <w:p w14:paraId="0930B82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207" w:type="dxa"/>
            <w:shd w:val="clear" w:color="auto" w:fill="auto"/>
            <w:tcMar>
              <w:top w:w="180" w:type="dxa"/>
              <w:left w:w="270" w:type="dxa"/>
              <w:bottom w:w="180" w:type="dxa"/>
              <w:right w:w="270" w:type="dxa"/>
            </w:tcMar>
            <w:vAlign w:val="center"/>
          </w:tcPr>
          <w:p w14:paraId="255E0F2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7" w:type="dxa"/>
            <w:shd w:val="clear" w:color="auto" w:fill="auto"/>
            <w:tcMar>
              <w:top w:w="180" w:type="dxa"/>
              <w:left w:w="270" w:type="dxa"/>
              <w:bottom w:w="180" w:type="dxa"/>
              <w:right w:w="270" w:type="dxa"/>
            </w:tcMar>
            <w:vAlign w:val="center"/>
          </w:tcPr>
          <w:p w14:paraId="0217D46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编程灯光程序、音视频</w:t>
            </w:r>
          </w:p>
        </w:tc>
      </w:tr>
    </w:tbl>
    <w:p w14:paraId="731BAA06">
      <w:pPr>
        <w:pStyle w:val="4"/>
        <w:keepNext w:val="0"/>
        <w:keepLines w:val="0"/>
        <w:pageBreakBefore w:val="0"/>
        <w:widowControl/>
        <w:numPr>
          <w:ilvl w:val="0"/>
          <w:numId w:val="0"/>
        </w:numPr>
        <w:suppressLineNumbers w:val="0"/>
        <w:pBdr>
          <w:bottom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Chars="0"/>
        <w:textAlignment w:val="auto"/>
        <w:outlineLvl w:val="3"/>
        <w:rPr>
          <w:rFonts w:hint="default" w:ascii="Segoe UI" w:hAnsi="Segoe UI" w:eastAsia="Segoe UI" w:cs="Segoe UI"/>
          <w:b w:val="0"/>
          <w:bCs w:val="0"/>
          <w:i w:val="0"/>
          <w:iCs w:val="0"/>
          <w:caps w:val="0"/>
          <w:color w:val="auto"/>
          <w:spacing w:val="0"/>
          <w:sz w:val="24"/>
          <w:szCs w:val="24"/>
        </w:rPr>
      </w:pPr>
      <w:r>
        <w:rPr>
          <w:rFonts w:hint="default" w:ascii="Segoe UI" w:hAnsi="Segoe UI" w:eastAsia="Segoe UI" w:cs="Segoe UI"/>
          <w:b w:val="0"/>
          <w:bCs w:val="0"/>
          <w:i w:val="0"/>
          <w:iCs w:val="0"/>
          <w:caps w:val="0"/>
          <w:color w:val="auto"/>
          <w:spacing w:val="0"/>
          <w:sz w:val="24"/>
          <w:szCs w:val="24"/>
          <w:shd w:val="clear" w:fill="FFFFFF"/>
        </w:rPr>
        <w:t> </w:t>
      </w:r>
    </w:p>
    <w:p w14:paraId="7BD94C55">
      <w:pPr>
        <w:pStyle w:val="4"/>
        <w:keepNext w:val="0"/>
        <w:keepLines w:val="0"/>
        <w:pageBreakBefore w:val="0"/>
        <w:widowControl/>
        <w:numPr>
          <w:ilvl w:val="0"/>
          <w:numId w:val="4"/>
        </w:numPr>
        <w:suppressLineNumbers w:val="0"/>
        <w:pBdr>
          <w:bottom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425" w:leftChars="0" w:hanging="425" w:firstLineChars="0"/>
        <w:textAlignment w:val="auto"/>
        <w:rPr>
          <w:rFonts w:hint="default" w:ascii="Segoe UI" w:hAnsi="Segoe UI" w:eastAsia="Segoe UI" w:cs="Segoe UI"/>
          <w:b w:val="0"/>
          <w:bCs w:val="0"/>
          <w:i w:val="0"/>
          <w:iCs w:val="0"/>
          <w:caps w:val="0"/>
          <w:color w:val="auto"/>
          <w:spacing w:val="0"/>
          <w:sz w:val="24"/>
          <w:szCs w:val="24"/>
        </w:rPr>
      </w:pPr>
      <w:r>
        <w:rPr>
          <w:rStyle w:val="10"/>
          <w:rFonts w:hint="default" w:ascii="Segoe UI" w:hAnsi="Segoe UI" w:eastAsia="Segoe UI" w:cs="Segoe UI"/>
          <w:b w:val="0"/>
          <w:bCs w:val="0"/>
          <w:i w:val="0"/>
          <w:iCs w:val="0"/>
          <w:caps w:val="0"/>
          <w:color w:val="auto"/>
          <w:spacing w:val="0"/>
          <w:sz w:val="24"/>
          <w:szCs w:val="24"/>
          <w:shd w:val="clear" w:fill="FFFFFF"/>
        </w:rPr>
        <w:t>音响系统</w:t>
      </w:r>
    </w:p>
    <w:tbl>
      <w:tblPr>
        <w:tblStyle w:val="8"/>
        <w:tblW w:w="8469"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2"/>
        <w:gridCol w:w="3969"/>
        <w:gridCol w:w="1095"/>
        <w:gridCol w:w="1913"/>
      </w:tblGrid>
      <w:tr w14:paraId="580D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blHeader/>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59E251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维保</w:t>
            </w:r>
          </w:p>
          <w:p w14:paraId="143DCEEA">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项目</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02ECFC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78C3D1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ascii="宋体" w:hAnsi="宋体" w:eastAsia="宋体" w:cs="宋体"/>
                <w:b w:val="0"/>
                <w:bCs w:val="0"/>
                <w:color w:val="auto"/>
                <w:kern w:val="0"/>
                <w:sz w:val="24"/>
                <w:szCs w:val="24"/>
                <w:lang w:val="en-US" w:eastAsia="zh-CN" w:bidi="ar"/>
              </w:rPr>
            </w:pPr>
            <w:r>
              <w:rPr>
                <w:rFonts w:ascii="宋体" w:hAnsi="宋体" w:eastAsia="宋体" w:cs="宋体"/>
                <w:b w:val="0"/>
                <w:bCs w:val="0"/>
                <w:color w:val="auto"/>
                <w:kern w:val="0"/>
                <w:sz w:val="24"/>
                <w:szCs w:val="24"/>
                <w:lang w:val="en-US" w:eastAsia="zh-CN" w:bidi="ar"/>
              </w:rPr>
              <w:t>周期</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1D0B68F">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08B4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395E8A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相位一致性测试</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7CAE45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相位差≤±15°（IEC 60268-5:2016）</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53183CA">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每年/次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405B6E1">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音频分析仪</w:t>
            </w:r>
          </w:p>
        </w:tc>
      </w:tr>
      <w:tr w14:paraId="6B0D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96A9E5C">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扬声器阻抗匹配检查</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BDBE32B">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阻抗偏差≤±5%（GB/T 12060.5-2011）</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99B42C3">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半年/次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B76A2CC">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LCR 电桥</w:t>
            </w:r>
          </w:p>
        </w:tc>
      </w:tr>
      <w:tr w14:paraId="03C7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28D8039">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麦克风频响校准</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C9E22A0">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频率响应曲线波动≤±3dB（GB/T 12060.10-2011）</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1E392D5">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季度</w:t>
            </w:r>
            <w:r>
              <w:rPr>
                <w:rFonts w:hint="eastAsia" w:ascii="宋体" w:hAnsi="宋体" w:cs="宋体"/>
                <w:color w:val="auto"/>
                <w:kern w:val="0"/>
                <w:sz w:val="24"/>
                <w:szCs w:val="24"/>
                <w:lang w:val="en-US" w:eastAsia="zh-CN" w:bidi="ar"/>
              </w:rPr>
              <w:t>/次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B9B797">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扫频信号发生器</w:t>
            </w:r>
          </w:p>
        </w:tc>
      </w:tr>
      <w:tr w14:paraId="2CBB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atLeast"/>
        </w:trPr>
        <w:tc>
          <w:tcPr>
            <w:tcW w:w="1492"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0F7B395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6AD053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095"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9C498C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913"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AE1235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音频、麦克风</w:t>
            </w:r>
          </w:p>
        </w:tc>
      </w:tr>
    </w:tbl>
    <w:p w14:paraId="2F4B84EA">
      <w:pPr>
        <w:keepNext w:val="0"/>
        <w:keepLines w:val="0"/>
        <w:pageBreakBefore w:val="0"/>
        <w:kinsoku/>
        <w:wordWrap/>
        <w:overflowPunct/>
        <w:topLinePunct w:val="0"/>
        <w:autoSpaceDE/>
        <w:autoSpaceDN/>
        <w:bidi w:val="0"/>
        <w:adjustRightInd/>
        <w:snapToGrid w:val="0"/>
        <w:spacing w:beforeAutospacing="0" w:afterAutospacing="0" w:line="240" w:lineRule="auto"/>
        <w:textAlignment w:val="auto"/>
        <w:rPr>
          <w:rFonts w:hint="default" w:ascii="Segoe UI" w:hAnsi="Segoe UI" w:eastAsia="Segoe UI" w:cs="Segoe UI"/>
          <w:b w:val="0"/>
          <w:bCs w:val="0"/>
          <w:i w:val="0"/>
          <w:iCs w:val="0"/>
          <w:caps w:val="0"/>
          <w:color w:val="auto"/>
          <w:spacing w:val="0"/>
          <w:sz w:val="24"/>
          <w:szCs w:val="24"/>
        </w:rPr>
      </w:pPr>
    </w:p>
    <w:p w14:paraId="519FB80F">
      <w:pPr>
        <w:pStyle w:val="4"/>
        <w:keepNext w:val="0"/>
        <w:keepLines w:val="0"/>
        <w:pageBreakBefore w:val="0"/>
        <w:widowControl/>
        <w:numPr>
          <w:ilvl w:val="0"/>
          <w:numId w:val="5"/>
        </w:numPr>
        <w:suppressLineNumbers w:val="0"/>
        <w:pBdr>
          <w:bottom w:val="none" w:color="auto" w:sz="0" w:space="0"/>
        </w:pBdr>
        <w:shd w:val="clear" w:fill="FFFFFF"/>
        <w:kinsoku/>
        <w:wordWrap/>
        <w:overflowPunct/>
        <w:topLinePunct w:val="0"/>
        <w:autoSpaceDE/>
        <w:autoSpaceDN/>
        <w:bidi w:val="0"/>
        <w:adjustRightInd/>
        <w:snapToGrid w:val="0"/>
        <w:spacing w:beforeAutospacing="0" w:afterAutospacing="0" w:line="360" w:lineRule="auto"/>
        <w:ind w:left="425" w:leftChars="0" w:hanging="425" w:firstLineChars="0"/>
        <w:textAlignment w:val="auto"/>
        <w:outlineLvl w:val="3"/>
        <w:rPr>
          <w:rFonts w:hint="default" w:ascii="Segoe UI" w:hAnsi="Segoe UI" w:eastAsia="Segoe UI" w:cs="Segoe UI"/>
          <w:b w:val="0"/>
          <w:bCs w:val="0"/>
          <w:i w:val="0"/>
          <w:iCs w:val="0"/>
          <w:caps w:val="0"/>
          <w:color w:val="auto"/>
          <w:spacing w:val="0"/>
          <w:sz w:val="24"/>
          <w:szCs w:val="24"/>
        </w:rPr>
      </w:pPr>
      <w:r>
        <w:rPr>
          <w:rStyle w:val="10"/>
          <w:rFonts w:hint="default" w:ascii="Segoe UI" w:hAnsi="Segoe UI" w:eastAsia="Segoe UI" w:cs="Segoe UI"/>
          <w:b w:val="0"/>
          <w:bCs w:val="0"/>
          <w:i w:val="0"/>
          <w:iCs w:val="0"/>
          <w:caps w:val="0"/>
          <w:color w:val="auto"/>
          <w:spacing w:val="0"/>
          <w:sz w:val="24"/>
          <w:szCs w:val="24"/>
          <w:shd w:val="clear" w:fill="FFFFFF"/>
        </w:rPr>
        <w:t>机械结构（升降台、</w:t>
      </w:r>
      <w:r>
        <w:rPr>
          <w:rStyle w:val="10"/>
          <w:rFonts w:hint="eastAsia" w:ascii="Segoe UI" w:hAnsi="Segoe UI" w:cs="Segoe UI"/>
          <w:b w:val="0"/>
          <w:bCs w:val="0"/>
          <w:i w:val="0"/>
          <w:iCs w:val="0"/>
          <w:caps w:val="0"/>
          <w:color w:val="auto"/>
          <w:spacing w:val="0"/>
          <w:sz w:val="24"/>
          <w:szCs w:val="24"/>
          <w:shd w:val="clear" w:fill="FFFFFF"/>
          <w:lang w:val="en-US" w:eastAsia="zh-CN"/>
        </w:rPr>
        <w:t>拉幕机</w:t>
      </w:r>
      <w:r>
        <w:rPr>
          <w:rStyle w:val="10"/>
          <w:rFonts w:hint="default" w:ascii="Segoe UI" w:hAnsi="Segoe UI" w:eastAsia="Segoe UI" w:cs="Segoe UI"/>
          <w:b w:val="0"/>
          <w:bCs w:val="0"/>
          <w:i w:val="0"/>
          <w:iCs w:val="0"/>
          <w:caps w:val="0"/>
          <w:color w:val="auto"/>
          <w:spacing w:val="0"/>
          <w:sz w:val="24"/>
          <w:szCs w:val="24"/>
          <w:shd w:val="clear" w:fill="FFFFFF"/>
        </w:rPr>
        <w:t>）</w:t>
      </w:r>
    </w:p>
    <w:tbl>
      <w:tblPr>
        <w:tblStyle w:val="8"/>
        <w:tblW w:w="0" w:type="auto"/>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80"/>
        <w:gridCol w:w="3696"/>
        <w:gridCol w:w="1110"/>
        <w:gridCol w:w="1887"/>
      </w:tblGrid>
      <w:tr w14:paraId="665A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2E264766">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维保项目</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50D8FDB">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技术标准</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47BF5E7">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hint="eastAsia" w:ascii="宋体" w:hAnsi="宋体" w:eastAsia="宋体" w:cs="宋体"/>
                <w:b w:val="0"/>
                <w:bCs w:val="0"/>
                <w:color w:val="auto"/>
                <w:kern w:val="0"/>
                <w:sz w:val="24"/>
                <w:szCs w:val="24"/>
                <w:lang w:val="en-US" w:eastAsia="zh-CN" w:bidi="ar"/>
              </w:rPr>
              <w:t>周</w:t>
            </w:r>
            <w:r>
              <w:rPr>
                <w:rFonts w:ascii="宋体" w:hAnsi="宋体" w:eastAsia="宋体" w:cs="宋体"/>
                <w:b w:val="0"/>
                <w:bCs w:val="0"/>
                <w:color w:val="auto"/>
                <w:kern w:val="0"/>
                <w:sz w:val="24"/>
                <w:szCs w:val="24"/>
                <w:lang w:val="en-US" w:eastAsia="zh-CN" w:bidi="ar"/>
              </w:rPr>
              <w:t>期</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DEAF623">
            <w:pPr>
              <w:keepNext w:val="0"/>
              <w:keepLines w:val="0"/>
              <w:pageBreakBefore w:val="0"/>
              <w:widowControl/>
              <w:suppressLineNumbers w:val="0"/>
              <w:kinsoku/>
              <w:wordWrap/>
              <w:overflowPunct/>
              <w:topLinePunct w:val="0"/>
              <w:autoSpaceDE/>
              <w:autoSpaceDN/>
              <w:bidi w:val="0"/>
              <w:adjustRightInd/>
              <w:spacing w:line="360" w:lineRule="auto"/>
              <w:jc w:val="center"/>
              <w:textAlignment w:val="auto"/>
              <w:rPr>
                <w:b w:val="0"/>
                <w:bCs w:val="0"/>
                <w:color w:val="auto"/>
              </w:rPr>
            </w:pPr>
            <w:r>
              <w:rPr>
                <w:rFonts w:ascii="宋体" w:hAnsi="宋体" w:eastAsia="宋体" w:cs="宋体"/>
                <w:b w:val="0"/>
                <w:bCs w:val="0"/>
                <w:color w:val="auto"/>
                <w:kern w:val="0"/>
                <w:sz w:val="24"/>
                <w:szCs w:val="24"/>
                <w:lang w:val="en-US" w:eastAsia="zh-CN" w:bidi="ar"/>
              </w:rPr>
              <w:t>工具 / 方法</w:t>
            </w:r>
          </w:p>
        </w:tc>
      </w:tr>
      <w:tr w14:paraId="64DC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730FD5FA">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承重部件应力测试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9DC0C8F">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安全系数≥2.5（WH/T 55-2012）</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655B9CAA">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每年/次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25F4BB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应变片测量仪</w:t>
            </w:r>
          </w:p>
        </w:tc>
      </w:tr>
      <w:tr w14:paraId="5F95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CD78AD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紧急制动测试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0A7ED88">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制动距离≤0.1m（GB 28751-2012）</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400C78B">
            <w:pPr>
              <w:keepNext w:val="0"/>
              <w:keepLines w:val="0"/>
              <w:widowControl/>
              <w:suppressLineNumbers w:val="0"/>
              <w:jc w:val="left"/>
              <w:rPr>
                <w:color w:val="auto"/>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44E9D46A">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秒表</w:t>
            </w:r>
          </w:p>
        </w:tc>
      </w:tr>
      <w:tr w14:paraId="1848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8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D31108B">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运行测试</w:t>
            </w:r>
          </w:p>
        </w:tc>
        <w:tc>
          <w:tcPr>
            <w:tcW w:w="3696"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552034D4">
            <w:pPr>
              <w:keepNext w:val="0"/>
              <w:keepLines w:val="0"/>
              <w:widowControl/>
              <w:suppressLineNumbers w:val="0"/>
              <w:jc w:val="left"/>
              <w:rPr>
                <w:rFonts w:ascii="宋体" w:hAnsi="宋体" w:eastAsia="宋体" w:cs="宋体"/>
                <w:color w:val="auto"/>
                <w:kern w:val="0"/>
                <w:sz w:val="24"/>
                <w:szCs w:val="24"/>
                <w:lang w:val="en-US" w:eastAsia="zh-CN" w:bidi="ar"/>
              </w:rPr>
            </w:pPr>
            <w:r>
              <w:rPr>
                <w:rFonts w:hint="eastAsia" w:ascii="宋体" w:hAnsi="宋体" w:eastAsia="宋体" w:cs="宋体"/>
                <w:b w:val="0"/>
                <w:bCs w:val="0"/>
                <w:i w:val="0"/>
                <w:iCs w:val="0"/>
                <w:caps w:val="0"/>
                <w:color w:val="auto"/>
                <w:spacing w:val="0"/>
                <w:sz w:val="24"/>
                <w:szCs w:val="24"/>
                <w:shd w:val="clear" w:fill="FFFFFF"/>
              </w:rPr>
              <w:t>GB/T 36729-2018《演出安全》</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3608EEA1">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每</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/次</w:t>
            </w:r>
          </w:p>
        </w:tc>
        <w:tc>
          <w:tcPr>
            <w:tcW w:w="1887" w:type="dxa"/>
            <w:tcBorders>
              <w:top w:val="single" w:color="auto" w:sz="4" w:space="0"/>
              <w:left w:val="single" w:color="auto" w:sz="4" w:space="0"/>
              <w:bottom w:val="single" w:color="auto" w:sz="4" w:space="0"/>
              <w:right w:val="single" w:color="auto" w:sz="4" w:space="0"/>
            </w:tcBorders>
            <w:shd w:val="clear" w:color="auto" w:fill="auto"/>
            <w:tcMar>
              <w:top w:w="180" w:type="dxa"/>
              <w:left w:w="270" w:type="dxa"/>
              <w:bottom w:w="180" w:type="dxa"/>
              <w:right w:w="270" w:type="dxa"/>
            </w:tcMar>
            <w:vAlign w:val="center"/>
          </w:tcPr>
          <w:p w14:paraId="11810AB3">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控制台</w:t>
            </w:r>
          </w:p>
          <w:p w14:paraId="72321B1A">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开幕机</w:t>
            </w:r>
          </w:p>
        </w:tc>
      </w:tr>
    </w:tbl>
    <w:p w14:paraId="419CEF3A">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p>
    <w:p w14:paraId="20855D14">
      <w:pPr>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技术要求​</w:t>
      </w:r>
    </w:p>
    <w:p w14:paraId="250F6FC4">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严格依据《舞台机械安全要求》《专业演出灯光工程技术规范》等国家及行业标准开展维保工作。​</w:t>
      </w:r>
    </w:p>
    <w:p w14:paraId="2FB577C3">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kern w:val="0"/>
          <w:sz w:val="24"/>
          <w:szCs w:val="24"/>
          <w:shd w:val="clear" w:color="auto" w:fill="auto"/>
          <w:lang w:val="en-US" w:eastAsia="zh-CN" w:bidi="ar"/>
        </w:rPr>
        <w:t>对故障设备，一般问题需在 2 小时内响应，4 小时内给出解决方案；紧急故障（如影响演出正常进行的设备故障）1 小时内响应，2 小时内到达现场处理。​</w:t>
      </w:r>
    </w:p>
    <w:p w14:paraId="427AF619">
      <w:pPr>
        <w:keepNext w:val="0"/>
        <w:keepLines w:val="0"/>
        <w:pageBreakBefore w:val="0"/>
        <w:widowControl/>
        <w:numPr>
          <w:ilvl w:val="0"/>
          <w:numId w:val="6"/>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kern w:val="0"/>
          <w:sz w:val="24"/>
          <w:szCs w:val="24"/>
          <w:shd w:val="clear" w:color="auto" w:fill="auto"/>
          <w:lang w:val="en-US" w:eastAsia="zh-CN" w:bidi="ar"/>
        </w:rPr>
        <w:t>定期对设备进行深度维护，每月对两校区会堂设施设备进行基础维护保养，每季度对灯光、音响设备进行全面检测调试，每半年对舞台机械系统进行润滑、紧固等保养。</w:t>
      </w:r>
      <w:r>
        <w:rPr>
          <w:rFonts w:hint="eastAsia" w:ascii="宋体" w:hAnsi="宋体" w:eastAsia="宋体" w:cs="宋体"/>
          <w:i w:val="0"/>
          <w:iCs w:val="0"/>
          <w:caps w:val="0"/>
          <w:spacing w:val="0"/>
          <w:sz w:val="24"/>
          <w:szCs w:val="24"/>
          <w:shd w:val="clear" w:color="auto" w:fill="auto"/>
        </w:rPr>
        <w:t>​</w:t>
      </w:r>
    </w:p>
    <w:p w14:paraId="1D5FE8A3">
      <w:pPr>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p>
    <w:p w14:paraId="4D0BA184">
      <w:pPr>
        <w:keepNext w:val="0"/>
        <w:keepLines w:val="0"/>
        <w:pageBreakBefore w:val="0"/>
        <w:widowControl/>
        <w:numPr>
          <w:ilvl w:val="0"/>
          <w:numId w:val="7"/>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服务要求​</w:t>
      </w:r>
    </w:p>
    <w:p w14:paraId="7677BF1A">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供应商须配备持有舞台设备安装调试、电工等相关资质证书的专业技术团队，团队成员需具备 3 年以上舞台设施设备维保经验。​</w:t>
      </w:r>
    </w:p>
    <w:p w14:paraId="1DED82D4">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提供 7×24 小时全天候服务。​</w:t>
      </w:r>
    </w:p>
    <w:p w14:paraId="586E7317">
      <w:pPr>
        <w:keepNext w:val="0"/>
        <w:keepLines w:val="0"/>
        <w:pageBreakBefore w:val="0"/>
        <w:widowControl/>
        <w:numPr>
          <w:ilvl w:val="0"/>
          <w:numId w:val="8"/>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每次维保工作完成后，需提交详细的维保记录，包括故障描述、处理过程、更换零部件清单、设备当前运行状态等内容。​</w:t>
      </w:r>
    </w:p>
    <w:p w14:paraId="170102E6">
      <w:pPr>
        <w:keepNext w:val="0"/>
        <w:keepLines w:val="0"/>
        <w:pageBreakBefore w:val="0"/>
        <w:widowControl/>
        <w:numPr>
          <w:ilvl w:val="0"/>
          <w:numId w:val="9"/>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0" w:leftChars="0" w:firstLine="420"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验收标准​</w:t>
      </w:r>
    </w:p>
    <w:p w14:paraId="65C93CA6">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供应商提交完整的维修维保报告、设备检测数据等资料，经校方审核。​</w:t>
      </w:r>
    </w:p>
    <w:p w14:paraId="6C442C11">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color="auto" w:fill="auto"/>
          <w:lang w:val="en-US" w:eastAsia="zh-CN" w:bidi="ar"/>
        </w:rPr>
        <w:t>通过专业灯光控制台对维修后的 18 台灯具进行全功能测试，包括亮度、颜色、图案、光束角度等参数调节，确保灯具响应灵敏、运行无异常，连续运行 6 小时无故障后，方可认定验收合格。</w:t>
      </w:r>
      <w:r>
        <w:rPr>
          <w:rFonts w:hint="eastAsia" w:ascii="宋体" w:hAnsi="宋体" w:eastAsia="宋体" w:cs="宋体"/>
          <w:i w:val="0"/>
          <w:iCs w:val="0"/>
          <w:caps w:val="0"/>
          <w:spacing w:val="0"/>
          <w:sz w:val="24"/>
          <w:szCs w:val="24"/>
          <w:shd w:val="clear" w:color="auto" w:fill="auto"/>
        </w:rPr>
        <w:t>​</w:t>
      </w:r>
    </w:p>
    <w:p w14:paraId="2B411324">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ascii="宋体" w:hAnsi="宋体" w:eastAsia="宋体" w:cs="宋体"/>
          <w:i w:val="0"/>
          <w:iCs w:val="0"/>
          <w:caps w:val="0"/>
          <w:spacing w:val="0"/>
          <w:kern w:val="0"/>
          <w:sz w:val="24"/>
          <w:szCs w:val="24"/>
          <w:shd w:val="clear" w:color="auto" w:fill="auto"/>
          <w:lang w:val="en-US" w:eastAsia="zh-CN" w:bidi="ar"/>
        </w:rPr>
      </w:pPr>
      <w:r>
        <w:rPr>
          <w:rFonts w:hint="eastAsia" w:ascii="宋体" w:hAnsi="宋体" w:eastAsia="宋体" w:cs="宋体"/>
          <w:i w:val="0"/>
          <w:iCs w:val="0"/>
          <w:caps w:val="0"/>
          <w:spacing w:val="0"/>
          <w:kern w:val="0"/>
          <w:sz w:val="24"/>
          <w:szCs w:val="24"/>
          <w:shd w:val="clear" w:color="auto" w:fill="auto"/>
          <w:lang w:val="en-US" w:eastAsia="zh-CN" w:bidi="ar"/>
        </w:rPr>
        <w:t>两校区会堂设备发生故障，中标单位须及时修复，最迟不超过12小时，以确保系统正常使用。</w:t>
      </w:r>
      <w:r>
        <w:rPr>
          <w:rFonts w:ascii="Segoe UI" w:hAnsi="Segoe UI" w:eastAsia="Segoe UI" w:cs="Segoe UI"/>
          <w:i w:val="0"/>
          <w:iCs w:val="0"/>
          <w:caps w:val="0"/>
          <w:spacing w:val="0"/>
          <w:sz w:val="24"/>
          <w:szCs w:val="24"/>
          <w:shd w:val="clear" w:fill="FFFFFF"/>
        </w:rPr>
        <w:t>在项目维修维保期间，</w:t>
      </w:r>
      <w:r>
        <w:rPr>
          <w:rFonts w:hint="eastAsia" w:ascii="Segoe UI" w:hAnsi="Segoe UI" w:eastAsia="宋体" w:cs="Segoe UI"/>
          <w:i w:val="0"/>
          <w:iCs w:val="0"/>
          <w:caps w:val="0"/>
          <w:spacing w:val="0"/>
          <w:sz w:val="24"/>
          <w:szCs w:val="24"/>
          <w:shd w:val="clear" w:fill="FFFFFF"/>
          <w:lang w:val="en-US" w:eastAsia="zh-CN"/>
        </w:rPr>
        <w:t>中标单位技术人员</w:t>
      </w:r>
      <w:r>
        <w:rPr>
          <w:rFonts w:ascii="Segoe UI" w:hAnsi="Segoe UI" w:eastAsia="Segoe UI" w:cs="Segoe UI"/>
          <w:i w:val="0"/>
          <w:iCs w:val="0"/>
          <w:caps w:val="0"/>
          <w:spacing w:val="0"/>
          <w:sz w:val="24"/>
          <w:szCs w:val="24"/>
          <w:shd w:val="clear" w:fill="FFFFFF"/>
        </w:rPr>
        <w:t>若发生高空作业、触电等任何安全事故，均由中标单位独立承担全部法律责任及相应后果，我校不承担任何责任与费用。</w:t>
      </w:r>
    </w:p>
    <w:p w14:paraId="69320D86">
      <w:pPr>
        <w:keepNext w:val="0"/>
        <w:keepLines w:val="0"/>
        <w:pageBreakBefore w:val="0"/>
        <w:widowControl/>
        <w:numPr>
          <w:ilvl w:val="0"/>
          <w:numId w:val="10"/>
        </w:numPr>
        <w:suppressLineNumbers w:val="0"/>
        <w:shd w:val="clear" w:fill="FFFFFF"/>
        <w:kinsoku/>
        <w:wordWrap/>
        <w:overflowPunct/>
        <w:topLinePunct w:val="0"/>
        <w:autoSpaceDE/>
        <w:autoSpaceDN/>
        <w:bidi w:val="0"/>
        <w:adjustRightInd w:val="0"/>
        <w:snapToGrid w:val="0"/>
        <w:spacing w:before="120" w:beforeAutospacing="0" w:after="120" w:afterAutospacing="0" w:line="23" w:lineRule="atLeast"/>
        <w:ind w:left="425" w:leftChars="0" w:hanging="425" w:firstLineChars="0"/>
        <w:jc w:val="left"/>
        <w:textAlignment w:val="auto"/>
        <w:rPr>
          <w:rFonts w:hint="eastAsia"/>
          <w:sz w:val="28"/>
          <w:szCs w:val="28"/>
        </w:rPr>
      </w:pPr>
      <w:r>
        <w:rPr>
          <w:rFonts w:hint="eastAsia" w:ascii="宋体" w:hAnsi="宋体" w:eastAsia="宋体" w:cs="宋体"/>
          <w:i w:val="0"/>
          <w:iCs w:val="0"/>
          <w:caps w:val="0"/>
          <w:spacing w:val="0"/>
          <w:kern w:val="0"/>
          <w:sz w:val="24"/>
          <w:szCs w:val="24"/>
          <w:shd w:val="clear" w:color="auto" w:fill="auto"/>
          <w:lang w:val="en-US" w:eastAsia="zh-CN" w:bidi="ar"/>
        </w:rPr>
        <w:t>设备配件更换严格执行质保期相关规定，质保期内再次损坏的，由中标单位进行免费维修更换，学校不再支付维修人工及配件相关费用。更换配件过程需校方人员全程监管并签字确认。</w:t>
      </w:r>
      <w:bookmarkStart w:id="0" w:name="_GoBack"/>
      <w:bookmarkEnd w:id="0"/>
    </w:p>
    <w:p w14:paraId="5EA5233E">
      <w:pPr>
        <w:pStyle w:val="2"/>
        <w:spacing w:before="0" w:after="120" w:line="420" w:lineRule="atLeast"/>
        <w:rPr>
          <w:sz w:val="28"/>
          <w:szCs w:val="28"/>
        </w:rPr>
      </w:pPr>
      <w:r>
        <w:rPr>
          <w:rFonts w:hint="eastAsia"/>
          <w:sz w:val="28"/>
          <w:szCs w:val="28"/>
        </w:rPr>
        <w:t>评审标准及方法</w:t>
      </w:r>
    </w:p>
    <w:p w14:paraId="0045F3F1">
      <w:pPr>
        <w:ind w:firstLine="482" w:firstLineChars="200"/>
        <w:rPr>
          <w:b/>
          <w:bCs/>
          <w:sz w:val="24"/>
        </w:rPr>
      </w:pPr>
      <w:r>
        <w:rPr>
          <w:rFonts w:hint="eastAsia"/>
          <w:b/>
          <w:bCs/>
          <w:sz w:val="24"/>
        </w:rPr>
        <w:t>一、评审方法</w:t>
      </w:r>
    </w:p>
    <w:p w14:paraId="16AC260A">
      <w:pPr>
        <w:numPr>
          <w:ilvl w:val="0"/>
          <w:numId w:val="11"/>
        </w:numPr>
        <w:spacing w:line="360" w:lineRule="auto"/>
        <w:ind w:firstLine="480" w:firstLineChars="200"/>
        <w:rPr>
          <w:rFonts w:ascii="宋体" w:hAnsi="宋体" w:cs="宋体"/>
          <w:sz w:val="24"/>
        </w:rPr>
      </w:pPr>
      <w:r>
        <w:rPr>
          <w:rFonts w:hint="eastAsia" w:ascii="宋体" w:hAnsi="宋体" w:cs="宋体"/>
          <w:sz w:val="24"/>
        </w:rPr>
        <w:t>本次评标采用综合评分法。</w:t>
      </w:r>
    </w:p>
    <w:p w14:paraId="653C1E08">
      <w:pPr>
        <w:numPr>
          <w:ilvl w:val="0"/>
          <w:numId w:val="11"/>
        </w:numPr>
        <w:spacing w:line="360" w:lineRule="auto"/>
        <w:ind w:firstLine="480" w:firstLineChars="200"/>
        <w:rPr>
          <w:rFonts w:ascii="宋体" w:hAnsi="宋体" w:cs="宋体"/>
          <w:sz w:val="24"/>
        </w:rPr>
      </w:pPr>
      <w:r>
        <w:rPr>
          <w:rFonts w:hint="eastAsia" w:ascii="宋体" w:hAnsi="宋体" w:cs="宋体"/>
          <w:sz w:val="24"/>
        </w:rPr>
        <w:t>综合评分的各项因素主要是技术、商务、价格等。</w:t>
      </w:r>
    </w:p>
    <w:p w14:paraId="4E58FD4A">
      <w:pPr>
        <w:spacing w:line="360" w:lineRule="auto"/>
        <w:ind w:firstLine="480" w:firstLineChars="200"/>
        <w:rPr>
          <w:rFonts w:ascii="宋体" w:hAnsi="宋体" w:cs="宋体"/>
          <w:sz w:val="24"/>
        </w:rPr>
      </w:pPr>
      <w:r>
        <w:rPr>
          <w:rFonts w:hint="eastAsia" w:ascii="宋体" w:hAnsi="宋体" w:cs="宋体"/>
          <w:sz w:val="24"/>
        </w:rPr>
        <w:t>3、投标人评标综合得分=价格分+商务得分+技术得分</w:t>
      </w:r>
    </w:p>
    <w:p w14:paraId="46F9F0E0">
      <w:pPr>
        <w:spacing w:line="360" w:lineRule="auto"/>
        <w:ind w:firstLine="480" w:firstLineChars="200"/>
        <w:rPr>
          <w:rFonts w:ascii="宋体" w:hAnsi="宋体" w:cs="宋体"/>
          <w:sz w:val="24"/>
        </w:rPr>
      </w:pPr>
      <w:r>
        <w:rPr>
          <w:rFonts w:hint="eastAsia" w:ascii="宋体" w:hAnsi="宋体" w:cs="宋体"/>
          <w:sz w:val="24"/>
        </w:rPr>
        <w:t>采购代理机构对各评委的总分进行复核。各项统计结果均精确到小数点后两位。各供应商的最终得分为评委所评定分数总和的</w:t>
      </w:r>
      <w:r>
        <w:rPr>
          <w:rFonts w:hint="eastAsia" w:ascii="宋体" w:hAnsi="宋体" w:cs="宋体"/>
          <w:bCs/>
          <w:sz w:val="24"/>
        </w:rPr>
        <w:t>平均值</w:t>
      </w:r>
      <w:r>
        <w:rPr>
          <w:rFonts w:hint="eastAsia" w:ascii="宋体" w:hAnsi="宋体" w:cs="宋体"/>
          <w:sz w:val="24"/>
        </w:rPr>
        <w:t>。中标候选资格按评标得分由高到低顺序排列，得分相同的，按开水供应投标报价由低到高顺序排列；得分且投标报价相同的，按技术得分由高到低顺序排列。排名第一的的投标人为中标候选人,排名第二的投标人为候补中标候选人……其他投标人中标候选资格依此类推。评分过程中采用四舍五入法，并保留小数2位。</w:t>
      </w:r>
    </w:p>
    <w:p w14:paraId="7D9A97EA">
      <w:pPr>
        <w:spacing w:line="360" w:lineRule="auto"/>
        <w:ind w:left="420" w:leftChars="200"/>
        <w:rPr>
          <w:rFonts w:ascii="宋体" w:hAnsi="宋体" w:cs="宋体"/>
          <w:b/>
          <w:bCs/>
          <w:sz w:val="24"/>
        </w:rPr>
      </w:pPr>
      <w:r>
        <w:rPr>
          <w:rFonts w:hint="eastAsia" w:ascii="宋体" w:hAnsi="宋体" w:cs="宋体"/>
          <w:b/>
          <w:bCs/>
          <w:sz w:val="24"/>
        </w:rPr>
        <w:t>二、评审标准</w:t>
      </w:r>
    </w:p>
    <w:p w14:paraId="2EC2E458">
      <w:pPr>
        <w:spacing w:line="360" w:lineRule="auto"/>
        <w:ind w:left="420" w:leftChars="200"/>
        <w:rPr>
          <w:rFonts w:ascii="宋体" w:hAnsi="宋体" w:cs="宋体"/>
          <w:b/>
          <w:bCs/>
          <w:sz w:val="24"/>
        </w:rPr>
      </w:pPr>
      <w:r>
        <w:rPr>
          <w:rFonts w:hint="eastAsia" w:ascii="宋体" w:hAnsi="宋体" w:cs="宋体"/>
          <w:b/>
          <w:bCs/>
          <w:sz w:val="24"/>
        </w:rPr>
        <w:t>（一）价格分（</w:t>
      </w:r>
      <w:r>
        <w:rPr>
          <w:rFonts w:hint="eastAsia" w:ascii="宋体" w:hAnsi="宋体" w:cs="宋体"/>
          <w:b/>
          <w:bCs/>
          <w:sz w:val="24"/>
          <w:lang w:val="en-US" w:eastAsia="zh-CN"/>
        </w:rPr>
        <w:t>30</w:t>
      </w:r>
      <w:r>
        <w:rPr>
          <w:rFonts w:hint="eastAsia" w:ascii="宋体" w:hAnsi="宋体" w:cs="宋体"/>
          <w:b/>
          <w:bCs/>
          <w:sz w:val="24"/>
        </w:rPr>
        <w:t>分）</w:t>
      </w:r>
    </w:p>
    <w:p w14:paraId="05BED306">
      <w:pPr>
        <w:spacing w:line="360" w:lineRule="auto"/>
        <w:ind w:firstLine="480" w:firstLineChars="200"/>
        <w:rPr>
          <w:rFonts w:ascii="宋体" w:hAnsi="宋体" w:cs="宋体"/>
          <w:sz w:val="24"/>
        </w:rPr>
      </w:pPr>
      <w:r>
        <w:rPr>
          <w:rFonts w:hint="eastAsia" w:ascii="宋体" w:hAnsi="宋体" w:cs="宋体"/>
          <w:sz w:val="24"/>
        </w:rPr>
        <w:t>1.维保价格分以满足招标文件要求且投标价格最低的投标报价为评标基准价，基准价得满分，其他投标人的价格分按照下列公式计算：</w:t>
      </w:r>
    </w:p>
    <w:p w14:paraId="04B2327F">
      <w:pPr>
        <w:spacing w:line="360" w:lineRule="auto"/>
        <w:ind w:firstLine="480" w:firstLineChars="200"/>
        <w:rPr>
          <w:rFonts w:ascii="宋体" w:hAnsi="宋体" w:cs="宋体"/>
          <w:sz w:val="24"/>
        </w:rPr>
      </w:pPr>
      <w:r>
        <w:rPr>
          <w:rFonts w:hint="eastAsia" w:ascii="宋体" w:hAnsi="宋体" w:cs="宋体"/>
          <w:sz w:val="24"/>
        </w:rPr>
        <w:t>维保报价得分=（评标基准价/投标报价）×100%×对应项满分</w:t>
      </w:r>
    </w:p>
    <w:p w14:paraId="6B4C888E">
      <w:pPr>
        <w:spacing w:line="360" w:lineRule="auto"/>
        <w:ind w:firstLine="480" w:firstLineChars="200"/>
        <w:rPr>
          <w:rFonts w:ascii="宋体" w:hAnsi="宋体" w:cs="宋体"/>
          <w:sz w:val="24"/>
        </w:rPr>
      </w:pPr>
      <w:r>
        <w:rPr>
          <w:rFonts w:hint="eastAsia" w:ascii="宋体" w:hAnsi="宋体" w:cs="宋体"/>
          <w:sz w:val="24"/>
        </w:rPr>
        <w:t>2.投标人的投标报价超过采购人设定的限价(不另设限价的以预算价作为限价)，其价格分作零分处理。</w:t>
      </w:r>
    </w:p>
    <w:p w14:paraId="721FAF1C">
      <w:pPr>
        <w:spacing w:line="360" w:lineRule="auto"/>
        <w:ind w:left="420" w:leftChars="200"/>
        <w:rPr>
          <w:rFonts w:ascii="宋体" w:hAnsi="宋体" w:cs="宋体"/>
          <w:sz w:val="24"/>
        </w:rPr>
      </w:pPr>
      <w:r>
        <w:rPr>
          <w:rFonts w:hint="eastAsia" w:ascii="宋体" w:hAnsi="宋体" w:cs="宋体"/>
          <w:sz w:val="24"/>
        </w:rPr>
        <w:t>3.投标人的维保价格投标报价如果低于其他投标人平均报价的20%，评标委员会要求该投标人提供异常低价说明，投标人现场提供书面证据，获得多数评委认可报价有效，否则视为无效报价。</w:t>
      </w:r>
    </w:p>
    <w:p w14:paraId="448DCB5E">
      <w:pPr>
        <w:spacing w:line="360" w:lineRule="auto"/>
        <w:ind w:left="420" w:leftChars="200"/>
        <w:rPr>
          <w:rFonts w:ascii="宋体" w:hAnsi="宋体" w:cs="宋体"/>
          <w:b/>
          <w:bCs/>
          <w:sz w:val="24"/>
        </w:rPr>
      </w:pPr>
      <w:r>
        <w:rPr>
          <w:rFonts w:hint="eastAsia" w:ascii="宋体" w:hAnsi="宋体" w:cs="宋体"/>
          <w:b/>
          <w:bCs/>
          <w:sz w:val="24"/>
        </w:rPr>
        <w:t>(二)技术部分</w:t>
      </w:r>
      <w:r>
        <w:rPr>
          <w:rFonts w:hint="eastAsia" w:ascii="宋体" w:hAnsi="宋体" w:cs="宋体"/>
          <w:b/>
          <w:bCs/>
          <w:sz w:val="24"/>
          <w:lang w:eastAsia="zh-CN"/>
        </w:rPr>
        <w:t>、</w:t>
      </w:r>
      <w:r>
        <w:rPr>
          <w:rFonts w:hint="eastAsia" w:ascii="宋体" w:hAnsi="宋体" w:eastAsia="宋体" w:cs="宋体"/>
          <w:b/>
          <w:bCs/>
          <w:sz w:val="24"/>
          <w:lang w:val="en-US" w:eastAsia="zh-CN"/>
        </w:rPr>
        <w:t>商务</w:t>
      </w:r>
      <w:r>
        <w:rPr>
          <w:rFonts w:hint="eastAsia" w:ascii="宋体" w:hAnsi="宋体" w:eastAsia="宋体" w:cs="宋体"/>
          <w:b/>
          <w:bCs/>
          <w:sz w:val="24"/>
        </w:rPr>
        <w:t>部分</w:t>
      </w:r>
      <w:r>
        <w:rPr>
          <w:rFonts w:hint="eastAsia" w:ascii="宋体" w:hAnsi="宋体" w:cs="宋体"/>
          <w:b/>
          <w:bCs/>
          <w:sz w:val="24"/>
        </w:rPr>
        <w:t>计算（</w:t>
      </w:r>
      <w:r>
        <w:rPr>
          <w:rFonts w:hint="eastAsia" w:ascii="宋体" w:hAnsi="宋体" w:cs="宋体"/>
          <w:b/>
          <w:bCs/>
          <w:sz w:val="24"/>
          <w:lang w:val="en-US" w:eastAsia="zh-CN"/>
        </w:rPr>
        <w:t>70</w:t>
      </w:r>
      <w:r>
        <w:rPr>
          <w:rFonts w:hint="eastAsia" w:ascii="宋体" w:hAnsi="宋体" w:cs="宋体"/>
          <w:b/>
          <w:bCs/>
          <w:sz w:val="24"/>
        </w:rPr>
        <w:t>分）</w:t>
      </w:r>
    </w:p>
    <w:p w14:paraId="0EBFBB47">
      <w:pPr>
        <w:spacing w:line="360" w:lineRule="auto"/>
        <w:ind w:firstLine="480" w:firstLineChars="200"/>
        <w:rPr>
          <w:rFonts w:ascii="宋体" w:hAnsi="宋体" w:cs="宋体"/>
          <w:sz w:val="24"/>
        </w:rPr>
      </w:pPr>
      <w:r>
        <w:rPr>
          <w:rFonts w:hint="eastAsia" w:ascii="宋体" w:hAnsi="宋体" w:cs="宋体"/>
          <w:sz w:val="24"/>
        </w:rPr>
        <w:t>技术、商务及资信分按照评标委员会成员的独立评分结果汇总数后的算术平均分计算，计算公式为：</w:t>
      </w:r>
    </w:p>
    <w:p w14:paraId="6C805C5F">
      <w:pPr>
        <w:spacing w:line="360" w:lineRule="auto"/>
        <w:ind w:firstLine="480" w:firstLineChars="200"/>
        <w:rPr>
          <w:rFonts w:ascii="宋体" w:hAnsi="宋体" w:cs="宋体"/>
          <w:sz w:val="24"/>
        </w:rPr>
      </w:pPr>
      <w:r>
        <w:rPr>
          <w:rFonts w:hint="eastAsia" w:ascii="宋体" w:hAnsi="宋体" w:cs="宋体"/>
          <w:sz w:val="24"/>
        </w:rPr>
        <w:t>技术商务及技术得分=评标委员会所有成员评分合计数/评标委员会组成人员数</w:t>
      </w:r>
    </w:p>
    <w:p w14:paraId="77AF9864">
      <w:pPr>
        <w:spacing w:line="380" w:lineRule="exact"/>
        <w:ind w:firstLine="480" w:firstLineChars="200"/>
        <w:rPr>
          <w:rFonts w:hint="default" w:ascii="宋体" w:hAnsi="宋体" w:eastAsia="宋体" w:cs="宋体"/>
          <w:sz w:val="24"/>
          <w:lang w:val="en-US" w:eastAsia="zh-CN"/>
        </w:rPr>
      </w:pPr>
      <w:r>
        <w:rPr>
          <w:rFonts w:hint="eastAsia" w:ascii="宋体" w:hAnsi="宋体" w:cs="宋体"/>
          <w:sz w:val="24"/>
        </w:rPr>
        <w:t>评标内容及标准根据《中华人民共和国政府采购法》和《中华人民共和国招标投标法》的有关规定，遵循“公开、公平、公正”的原则，结合本次招标的特点，特制定本评标细则</w:t>
      </w:r>
      <w:r>
        <w:rPr>
          <w:rFonts w:hint="eastAsia" w:ascii="宋体" w:hAnsi="宋体" w:cs="宋体"/>
          <w:sz w:val="24"/>
          <w:lang w:eastAsia="zh-CN"/>
        </w:rPr>
        <w:t>，</w:t>
      </w:r>
      <w:r>
        <w:rPr>
          <w:rFonts w:hint="eastAsia" w:ascii="宋体" w:hAnsi="宋体" w:cs="宋体"/>
          <w:sz w:val="24"/>
        </w:rPr>
        <w:t>定本评标细则</w:t>
      </w:r>
      <w:r>
        <w:rPr>
          <w:rFonts w:hint="eastAsia" w:ascii="宋体" w:hAnsi="宋体" w:cs="宋体"/>
          <w:sz w:val="24"/>
          <w:lang w:eastAsia="zh-CN"/>
        </w:rPr>
        <w:t>，</w:t>
      </w:r>
      <w:r>
        <w:rPr>
          <w:rFonts w:hint="eastAsia" w:ascii="宋体" w:hAnsi="宋体" w:cs="宋体"/>
          <w:sz w:val="24"/>
          <w:lang w:val="en-US" w:eastAsia="zh-CN"/>
        </w:rPr>
        <w:t>评分表见附件。</w:t>
      </w:r>
    </w:p>
    <w:p w14:paraId="7B4A75F6">
      <w:pPr>
        <w:spacing w:line="380" w:lineRule="exact"/>
        <w:ind w:firstLine="480" w:firstLineChars="200"/>
        <w:rPr>
          <w:rFonts w:hint="eastAsia" w:ascii="宋体" w:hAnsi="宋体" w:cs="宋体"/>
          <w:sz w:val="24"/>
          <w:lang w:val="en-US" w:eastAsia="zh-CN"/>
        </w:rPr>
      </w:pPr>
    </w:p>
    <w:p w14:paraId="56D539EB">
      <w:pPr>
        <w:spacing w:line="360" w:lineRule="auto"/>
        <w:ind w:left="420" w:leftChars="200"/>
        <w:rPr>
          <w:rFonts w:ascii="宋体" w:hAnsi="宋体" w:cs="宋体"/>
          <w:b/>
          <w:bCs/>
          <w:sz w:val="24"/>
        </w:rPr>
      </w:pPr>
      <w:r>
        <w:rPr>
          <w:rFonts w:hint="eastAsia" w:ascii="宋体" w:hAnsi="宋体" w:cs="宋体"/>
          <w:b/>
          <w:bCs/>
          <w:sz w:val="24"/>
        </w:rPr>
        <w:t xml:space="preserve">  三、确定成交人</w:t>
      </w:r>
    </w:p>
    <w:p w14:paraId="4D1BC34A">
      <w:pPr>
        <w:spacing w:line="360" w:lineRule="auto"/>
        <w:ind w:firstLine="480" w:firstLineChars="200"/>
        <w:rPr>
          <w:rFonts w:hint="eastAsia" w:ascii="宋体" w:hAnsi="宋体"/>
          <w:color w:val="000000"/>
          <w:sz w:val="24"/>
        </w:rPr>
      </w:pPr>
      <w:r>
        <w:rPr>
          <w:rFonts w:hint="eastAsia"/>
          <w:sz w:val="24"/>
        </w:rPr>
        <w:t>谈判</w:t>
      </w:r>
      <w:r>
        <w:rPr>
          <w:rFonts w:hint="eastAsia" w:ascii="宋体" w:hAnsi="宋体"/>
          <w:color w:val="000000"/>
          <w:sz w:val="24"/>
        </w:rPr>
        <w:t>小组将根据各供应商响应文件的内容和价格评议分之和，</w:t>
      </w:r>
      <w:r>
        <w:rPr>
          <w:rFonts w:ascii="宋体" w:hAnsi="宋体"/>
          <w:color w:val="000000"/>
          <w:sz w:val="24"/>
        </w:rPr>
        <w:t>由高到低顺序排列。得分相同的，按报价由低到高顺序排列</w:t>
      </w:r>
      <w:r>
        <w:rPr>
          <w:rFonts w:hint="eastAsia" w:ascii="宋体" w:hAnsi="宋体"/>
          <w:color w:val="000000"/>
          <w:sz w:val="24"/>
        </w:rPr>
        <w:t>；</w:t>
      </w:r>
      <w:r>
        <w:rPr>
          <w:rFonts w:ascii="宋体" w:hAnsi="宋体"/>
          <w:color w:val="000000"/>
          <w:sz w:val="24"/>
        </w:rPr>
        <w:t>得分且报价相同的，按技术指标优劣顺序排列。</w:t>
      </w:r>
      <w:r>
        <w:rPr>
          <w:rFonts w:hint="eastAsia" w:ascii="宋体" w:hAnsi="宋体"/>
          <w:color w:val="000000"/>
          <w:sz w:val="24"/>
        </w:rPr>
        <w:t>谈判小组向采购人推荐不超过3名有排序的供应商作为成交候选人。</w:t>
      </w:r>
    </w:p>
    <w:p w14:paraId="48386B06">
      <w:pPr>
        <w:spacing w:line="360" w:lineRule="auto"/>
        <w:jc w:val="center"/>
        <w:rPr>
          <w:rFonts w:hint="eastAsia" w:ascii="宋体" w:hAnsi="宋体" w:eastAsia="宋体" w:cs="宋体"/>
          <w:i w:val="0"/>
          <w:iCs w:val="0"/>
          <w:caps w:val="0"/>
          <w:spacing w:val="0"/>
          <w:sz w:val="32"/>
          <w:szCs w:val="32"/>
          <w:shd w:val="clear" w:color="auto" w:fill="auto"/>
        </w:rPr>
      </w:pPr>
      <w:r>
        <w:rPr>
          <w:rFonts w:hint="eastAsia" w:ascii="宋体" w:hAnsi="宋体" w:eastAsia="宋体" w:cs="宋体"/>
          <w:i w:val="0"/>
          <w:iCs w:val="0"/>
          <w:caps w:val="0"/>
          <w:spacing w:val="0"/>
          <w:sz w:val="32"/>
          <w:szCs w:val="32"/>
          <w:shd w:val="clear" w:color="auto" w:fill="auto"/>
        </w:rPr>
        <w:t>两校区会堂舞台设施设备维修维保服务招标评分表</w:t>
      </w:r>
    </w:p>
    <w:p w14:paraId="1A3B2EF0">
      <w:pPr>
        <w:spacing w:line="360" w:lineRule="auto"/>
        <w:jc w:val="center"/>
        <w:rPr>
          <w:rFonts w:hint="eastAsia" w:ascii="宋体" w:hAnsi="宋体" w:eastAsia="宋体" w:cs="宋体"/>
          <w:i w:val="0"/>
          <w:iCs w:val="0"/>
          <w:caps w:val="0"/>
          <w:spacing w:val="0"/>
          <w:sz w:val="32"/>
          <w:szCs w:val="32"/>
          <w:shd w:val="clear" w:color="auto" w:fill="auto"/>
        </w:rPr>
      </w:pPr>
    </w:p>
    <w:tbl>
      <w:tblPr>
        <w:tblStyle w:val="8"/>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51"/>
        <w:gridCol w:w="680"/>
        <w:gridCol w:w="6743"/>
        <w:gridCol w:w="965"/>
      </w:tblGrid>
      <w:tr w14:paraId="0627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20" w:type="dxa"/>
            <w:vAlign w:val="center"/>
          </w:tcPr>
          <w:p w14:paraId="189FE7E0">
            <w:pPr>
              <w:adjustRightInd w:val="0"/>
              <w:snapToGrid w:val="0"/>
              <w:jc w:val="center"/>
              <w:rPr>
                <w:rFonts w:ascii="宋体" w:hAnsi="宋体" w:cs="宋体"/>
                <w:bCs/>
                <w:szCs w:val="21"/>
              </w:rPr>
            </w:pPr>
            <w:r>
              <w:rPr>
                <w:rFonts w:hint="eastAsia" w:ascii="宋体" w:hAnsi="宋体" w:cs="宋体"/>
                <w:bCs/>
                <w:szCs w:val="21"/>
              </w:rPr>
              <w:t>序号</w:t>
            </w:r>
          </w:p>
        </w:tc>
        <w:tc>
          <w:tcPr>
            <w:tcW w:w="651" w:type="dxa"/>
            <w:vAlign w:val="center"/>
          </w:tcPr>
          <w:p w14:paraId="52929265">
            <w:pPr>
              <w:adjustRightInd w:val="0"/>
              <w:snapToGrid w:val="0"/>
              <w:jc w:val="center"/>
              <w:rPr>
                <w:rFonts w:hint="eastAsia" w:ascii="宋体" w:hAnsi="宋体" w:cs="宋体"/>
                <w:bCs/>
                <w:szCs w:val="21"/>
              </w:rPr>
            </w:pPr>
            <w:r>
              <w:rPr>
                <w:rFonts w:hint="eastAsia" w:ascii="宋体" w:hAnsi="宋体" w:cs="宋体"/>
                <w:bCs/>
                <w:szCs w:val="21"/>
              </w:rPr>
              <w:t>评标</w:t>
            </w:r>
          </w:p>
          <w:p w14:paraId="498F30F9">
            <w:pPr>
              <w:adjustRightInd w:val="0"/>
              <w:snapToGrid w:val="0"/>
              <w:jc w:val="center"/>
              <w:rPr>
                <w:rFonts w:ascii="宋体" w:hAnsi="宋体" w:cs="宋体"/>
                <w:bCs/>
                <w:szCs w:val="21"/>
              </w:rPr>
            </w:pPr>
            <w:r>
              <w:rPr>
                <w:rFonts w:hint="eastAsia" w:ascii="宋体" w:hAnsi="宋体" w:cs="宋体"/>
                <w:bCs/>
                <w:szCs w:val="21"/>
              </w:rPr>
              <w:t>分项</w:t>
            </w:r>
          </w:p>
        </w:tc>
        <w:tc>
          <w:tcPr>
            <w:tcW w:w="680" w:type="dxa"/>
            <w:vAlign w:val="center"/>
          </w:tcPr>
          <w:p w14:paraId="1556ADEE">
            <w:pPr>
              <w:adjustRightInd w:val="0"/>
              <w:snapToGrid w:val="0"/>
              <w:jc w:val="center"/>
              <w:rPr>
                <w:rFonts w:ascii="宋体" w:hAnsi="宋体" w:cs="宋体"/>
                <w:bCs/>
                <w:szCs w:val="21"/>
              </w:rPr>
            </w:pPr>
            <w:r>
              <w:rPr>
                <w:rFonts w:hint="eastAsia" w:ascii="宋体" w:hAnsi="宋体" w:cs="宋体"/>
                <w:bCs/>
                <w:szCs w:val="21"/>
              </w:rPr>
              <w:t>分值</w:t>
            </w:r>
          </w:p>
        </w:tc>
        <w:tc>
          <w:tcPr>
            <w:tcW w:w="6743" w:type="dxa"/>
            <w:vAlign w:val="center"/>
          </w:tcPr>
          <w:p w14:paraId="395B4566">
            <w:pPr>
              <w:adjustRightInd w:val="0"/>
              <w:snapToGrid w:val="0"/>
              <w:jc w:val="center"/>
              <w:rPr>
                <w:rFonts w:ascii="宋体" w:hAnsi="宋体" w:cs="宋体"/>
                <w:bCs/>
                <w:szCs w:val="21"/>
              </w:rPr>
            </w:pPr>
            <w:r>
              <w:rPr>
                <w:rFonts w:hint="eastAsia" w:ascii="宋体" w:hAnsi="宋体" w:cs="宋体"/>
                <w:bCs/>
                <w:szCs w:val="21"/>
              </w:rPr>
              <w:t>评分方法</w:t>
            </w:r>
          </w:p>
        </w:tc>
        <w:tc>
          <w:tcPr>
            <w:tcW w:w="965" w:type="dxa"/>
            <w:vAlign w:val="center"/>
          </w:tcPr>
          <w:p w14:paraId="7D822DE5">
            <w:pPr>
              <w:snapToGrid w:val="0"/>
              <w:jc w:val="center"/>
              <w:rPr>
                <w:rFonts w:ascii="宋体" w:hAnsi="宋体" w:cs="宋体"/>
                <w:bCs/>
                <w:szCs w:val="21"/>
              </w:rPr>
            </w:pPr>
            <w:r>
              <w:rPr>
                <w:rFonts w:hint="eastAsia" w:ascii="宋体" w:hAnsi="宋体" w:cs="宋体"/>
                <w:bCs/>
                <w:szCs w:val="21"/>
              </w:rPr>
              <w:t>得分</w:t>
            </w:r>
          </w:p>
        </w:tc>
      </w:tr>
      <w:tr w14:paraId="7C2E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659" w:type="dxa"/>
            <w:gridSpan w:val="5"/>
            <w:vAlign w:val="center"/>
          </w:tcPr>
          <w:p w14:paraId="3C394592">
            <w:pPr>
              <w:adjustRightInd w:val="0"/>
              <w:snapToGrid w:val="0"/>
              <w:jc w:val="center"/>
              <w:rPr>
                <w:rFonts w:ascii="宋体" w:hAnsi="宋体" w:cs="宋体"/>
                <w:bCs/>
                <w:szCs w:val="21"/>
              </w:rPr>
            </w:pPr>
            <w:r>
              <w:rPr>
                <w:rFonts w:hint="eastAsia" w:ascii="宋体" w:hAnsi="宋体" w:cs="宋体"/>
                <w:bCs/>
                <w:sz w:val="24"/>
                <w:szCs w:val="24"/>
              </w:rPr>
              <w:t>一、价格（</w:t>
            </w:r>
            <w:r>
              <w:rPr>
                <w:rFonts w:hint="eastAsia" w:ascii="宋体" w:hAnsi="宋体" w:cs="宋体"/>
                <w:bCs/>
                <w:sz w:val="24"/>
                <w:szCs w:val="24"/>
                <w:lang w:val="en-US" w:eastAsia="zh-CN"/>
              </w:rPr>
              <w:t>30</w:t>
            </w:r>
            <w:r>
              <w:rPr>
                <w:rFonts w:hint="eastAsia" w:ascii="宋体" w:hAnsi="宋体" w:cs="宋体"/>
                <w:bCs/>
                <w:sz w:val="24"/>
                <w:szCs w:val="24"/>
              </w:rPr>
              <w:t>分）</w:t>
            </w:r>
          </w:p>
        </w:tc>
      </w:tr>
      <w:tr w14:paraId="7B80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620" w:type="dxa"/>
            <w:vAlign w:val="center"/>
          </w:tcPr>
          <w:p w14:paraId="2BEB55EB">
            <w:pPr>
              <w:adjustRightInd w:val="0"/>
              <w:snapToGrid w:val="0"/>
              <w:jc w:val="center"/>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1</w:t>
            </w:r>
          </w:p>
        </w:tc>
        <w:tc>
          <w:tcPr>
            <w:tcW w:w="651" w:type="dxa"/>
            <w:vAlign w:val="center"/>
          </w:tcPr>
          <w:p w14:paraId="574E020D">
            <w:pPr>
              <w:adjustRightInd w:val="0"/>
              <w:snapToGrid w:val="0"/>
              <w:jc w:val="both"/>
              <w:rPr>
                <w:rFonts w:hint="eastAsia" w:ascii="宋体" w:hAnsi="宋体" w:cs="宋体"/>
                <w:b w:val="0"/>
                <w:bCs/>
                <w:sz w:val="21"/>
                <w:szCs w:val="21"/>
                <w:shd w:val="clear" w:color="auto" w:fill="auto"/>
                <w:lang w:val="en-US" w:eastAsia="zh-CN"/>
              </w:rPr>
            </w:pPr>
            <w:r>
              <w:rPr>
                <w:rFonts w:hint="eastAsia" w:ascii="宋体" w:hAnsi="宋体" w:cs="宋体"/>
                <w:b w:val="0"/>
                <w:bCs/>
                <w:sz w:val="21"/>
                <w:szCs w:val="21"/>
                <w:shd w:val="clear" w:color="auto" w:fill="auto"/>
                <w:lang w:val="en-US" w:eastAsia="zh-CN"/>
              </w:rPr>
              <w:t>报价</w:t>
            </w:r>
          </w:p>
        </w:tc>
        <w:tc>
          <w:tcPr>
            <w:tcW w:w="680" w:type="dxa"/>
            <w:vAlign w:val="center"/>
          </w:tcPr>
          <w:p w14:paraId="4075ABDC">
            <w:pPr>
              <w:adjustRightInd w:val="0"/>
              <w:snapToGrid w:val="0"/>
              <w:jc w:val="center"/>
              <w:rPr>
                <w:rFonts w:hint="default" w:ascii="宋体" w:hAnsi="宋体" w:eastAsia="宋体" w:cs="宋体"/>
                <w:b w:val="0"/>
                <w:bCs/>
                <w:sz w:val="24"/>
                <w:szCs w:val="24"/>
                <w:shd w:val="clear" w:color="auto" w:fill="auto"/>
                <w:lang w:val="en-US" w:eastAsia="zh-CN"/>
              </w:rPr>
            </w:pPr>
            <w:r>
              <w:rPr>
                <w:rFonts w:hint="eastAsia" w:ascii="宋体" w:hAnsi="宋体" w:cs="宋体"/>
                <w:b w:val="0"/>
                <w:bCs/>
                <w:sz w:val="24"/>
                <w:szCs w:val="24"/>
                <w:shd w:val="clear" w:color="auto" w:fill="auto"/>
                <w:lang w:val="en-US" w:eastAsia="zh-CN"/>
              </w:rPr>
              <w:t>30</w:t>
            </w:r>
          </w:p>
        </w:tc>
        <w:tc>
          <w:tcPr>
            <w:tcW w:w="6743" w:type="dxa"/>
            <w:vAlign w:val="center"/>
          </w:tcPr>
          <w:p w14:paraId="37DFFEDA">
            <w:pPr>
              <w:pStyle w:val="5"/>
              <w:adjustRightInd w:val="0"/>
              <w:snapToGrid w:val="0"/>
              <w:ind w:firstLine="0" w:firstLineChars="0"/>
              <w:rPr>
                <w:rFonts w:hint="eastAsia" w:ascii="宋体" w:hAnsi="宋体" w:eastAsia="宋体" w:cs="宋体"/>
                <w:b w:val="0"/>
                <w:bCs/>
                <w:sz w:val="24"/>
                <w:szCs w:val="24"/>
                <w:shd w:val="clear" w:color="auto" w:fill="auto"/>
              </w:rPr>
            </w:pPr>
            <w:r>
              <w:rPr>
                <w:rFonts w:hint="eastAsia" w:ascii="宋体" w:hAnsi="宋体" w:eastAsia="宋体" w:cs="宋体"/>
                <w:b w:val="0"/>
                <w:bCs/>
                <w:i w:val="0"/>
                <w:iCs w:val="0"/>
                <w:caps w:val="0"/>
                <w:spacing w:val="0"/>
                <w:sz w:val="21"/>
                <w:szCs w:val="21"/>
                <w:shd w:val="clear" w:color="auto" w:fill="auto"/>
              </w:rPr>
              <w:t>1. 以满足招标文件要求且投标价格最低的报价为评标基准价，基准价得</w:t>
            </w:r>
            <w:r>
              <w:rPr>
                <w:rFonts w:hint="eastAsia" w:ascii="宋体" w:hAnsi="宋体" w:cs="宋体"/>
                <w:b w:val="0"/>
                <w:bCs/>
                <w:i w:val="0"/>
                <w:iCs w:val="0"/>
                <w:caps w:val="0"/>
                <w:spacing w:val="0"/>
                <w:sz w:val="21"/>
                <w:szCs w:val="21"/>
                <w:shd w:val="clear" w:color="auto" w:fill="auto"/>
                <w:lang w:val="en-US" w:eastAsia="zh-CN"/>
              </w:rPr>
              <w:t>30</w:t>
            </w:r>
            <w:r>
              <w:rPr>
                <w:rFonts w:hint="eastAsia" w:ascii="宋体" w:hAnsi="宋体" w:eastAsia="宋体" w:cs="宋体"/>
                <w:b w:val="0"/>
                <w:bCs/>
                <w:i w:val="0"/>
                <w:iCs w:val="0"/>
                <w:caps w:val="0"/>
                <w:spacing w:val="0"/>
                <w:sz w:val="21"/>
                <w:szCs w:val="21"/>
                <w:shd w:val="clear" w:color="auto" w:fill="auto"/>
              </w:rPr>
              <w:t xml:space="preserve"> 分。2. 其他投标人价格分计算：维保报价得分 =（评标基准价 / 投标报价）×100%×</w:t>
            </w:r>
            <w:r>
              <w:rPr>
                <w:rFonts w:hint="eastAsia" w:ascii="宋体" w:hAnsi="宋体" w:cs="宋体"/>
                <w:b w:val="0"/>
                <w:bCs/>
                <w:i w:val="0"/>
                <w:iCs w:val="0"/>
                <w:caps w:val="0"/>
                <w:spacing w:val="0"/>
                <w:sz w:val="21"/>
                <w:szCs w:val="21"/>
                <w:shd w:val="clear" w:color="auto" w:fill="auto"/>
                <w:lang w:val="en-US" w:eastAsia="zh-CN"/>
              </w:rPr>
              <w:t>30</w:t>
            </w:r>
            <w:r>
              <w:rPr>
                <w:rFonts w:hint="eastAsia" w:ascii="宋体" w:hAnsi="宋体" w:eastAsia="宋体" w:cs="宋体"/>
                <w:b w:val="0"/>
                <w:bCs/>
                <w:i w:val="0"/>
                <w:iCs w:val="0"/>
                <w:caps w:val="0"/>
                <w:spacing w:val="0"/>
                <w:sz w:val="21"/>
                <w:szCs w:val="21"/>
                <w:shd w:val="clear" w:color="auto" w:fill="auto"/>
              </w:rPr>
              <w:t>。3. 投标报价超过限价（1</w:t>
            </w:r>
            <w:r>
              <w:rPr>
                <w:rFonts w:hint="eastAsia" w:ascii="宋体" w:hAnsi="宋体" w:cs="宋体"/>
                <w:b w:val="0"/>
                <w:bCs/>
                <w:i w:val="0"/>
                <w:iCs w:val="0"/>
                <w:caps w:val="0"/>
                <w:spacing w:val="0"/>
                <w:sz w:val="21"/>
                <w:szCs w:val="21"/>
                <w:shd w:val="clear" w:color="auto" w:fill="auto"/>
                <w:lang w:val="en-US" w:eastAsia="zh-CN"/>
              </w:rPr>
              <w:t>39</w:t>
            </w:r>
            <w:r>
              <w:rPr>
                <w:rFonts w:hint="eastAsia" w:ascii="宋体" w:hAnsi="宋体" w:eastAsia="宋体" w:cs="宋体"/>
                <w:b w:val="0"/>
                <w:bCs/>
                <w:i w:val="0"/>
                <w:iCs w:val="0"/>
                <w:caps w:val="0"/>
                <w:spacing w:val="0"/>
                <w:sz w:val="21"/>
                <w:szCs w:val="21"/>
                <w:shd w:val="clear" w:color="auto" w:fill="auto"/>
              </w:rPr>
              <w:t>25 元），价格分计 0 分。</w:t>
            </w:r>
          </w:p>
        </w:tc>
        <w:tc>
          <w:tcPr>
            <w:tcW w:w="965" w:type="dxa"/>
            <w:vAlign w:val="center"/>
          </w:tcPr>
          <w:p w14:paraId="2740C98A">
            <w:pPr>
              <w:snapToGrid w:val="0"/>
              <w:jc w:val="center"/>
              <w:rPr>
                <w:rFonts w:ascii="宋体" w:hAnsi="宋体" w:cs="宋体"/>
                <w:bCs/>
                <w:szCs w:val="21"/>
              </w:rPr>
            </w:pPr>
          </w:p>
        </w:tc>
      </w:tr>
      <w:tr w14:paraId="3B84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659" w:type="dxa"/>
            <w:gridSpan w:val="5"/>
            <w:vAlign w:val="center"/>
          </w:tcPr>
          <w:p w14:paraId="08D05621">
            <w:pPr>
              <w:adjustRightInd w:val="0"/>
              <w:snapToGrid w:val="0"/>
              <w:jc w:val="center"/>
              <w:rPr>
                <w:rFonts w:hint="eastAsia" w:ascii="宋体" w:hAnsi="宋体" w:eastAsia="宋体" w:cs="宋体"/>
                <w:b w:val="0"/>
                <w:bCs/>
                <w:sz w:val="24"/>
                <w:szCs w:val="24"/>
                <w:shd w:val="clear" w:color="auto" w:fill="auto"/>
              </w:rPr>
            </w:pPr>
            <w:r>
              <w:rPr>
                <w:rFonts w:hint="eastAsia" w:ascii="宋体" w:hAnsi="宋体" w:eastAsia="宋体" w:cs="宋体"/>
                <w:b w:val="0"/>
                <w:bCs/>
                <w:sz w:val="24"/>
                <w:szCs w:val="24"/>
                <w:shd w:val="clear" w:color="auto" w:fill="auto"/>
              </w:rPr>
              <w:t>二、</w:t>
            </w:r>
            <w:r>
              <w:rPr>
                <w:rFonts w:hint="eastAsia" w:ascii="宋体" w:hAnsi="宋体" w:eastAsia="宋体" w:cs="宋体"/>
                <w:b w:val="0"/>
                <w:bCs/>
                <w:sz w:val="24"/>
                <w:szCs w:val="24"/>
                <w:shd w:val="clear" w:color="auto" w:fill="auto"/>
                <w:lang w:val="en-US" w:eastAsia="zh-CN"/>
              </w:rPr>
              <w:t>技术</w:t>
            </w:r>
            <w:r>
              <w:rPr>
                <w:rFonts w:hint="eastAsia" w:ascii="宋体" w:hAnsi="宋体" w:eastAsia="宋体" w:cs="宋体"/>
                <w:b w:val="0"/>
                <w:bCs/>
                <w:sz w:val="24"/>
                <w:szCs w:val="24"/>
                <w:shd w:val="clear" w:color="auto" w:fill="auto"/>
              </w:rPr>
              <w:t>部分（</w:t>
            </w:r>
            <w:r>
              <w:rPr>
                <w:rFonts w:hint="eastAsia" w:ascii="宋体" w:hAnsi="宋体" w:cs="宋体"/>
                <w:b w:val="0"/>
                <w:bCs/>
                <w:sz w:val="24"/>
                <w:szCs w:val="24"/>
                <w:shd w:val="clear" w:color="auto" w:fill="auto"/>
                <w:lang w:val="en-US" w:eastAsia="zh-CN"/>
              </w:rPr>
              <w:t>40</w:t>
            </w:r>
            <w:r>
              <w:rPr>
                <w:rFonts w:hint="eastAsia" w:ascii="宋体" w:hAnsi="宋体" w:eastAsia="宋体" w:cs="宋体"/>
                <w:b w:val="0"/>
                <w:bCs/>
                <w:sz w:val="24"/>
                <w:szCs w:val="24"/>
                <w:shd w:val="clear" w:color="auto" w:fill="auto"/>
              </w:rPr>
              <w:t>）</w:t>
            </w:r>
          </w:p>
        </w:tc>
      </w:tr>
      <w:tr w14:paraId="0B34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620" w:type="dxa"/>
            <w:vAlign w:val="center"/>
          </w:tcPr>
          <w:p w14:paraId="34F5ACB3">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1</w:t>
            </w:r>
          </w:p>
        </w:tc>
        <w:tc>
          <w:tcPr>
            <w:tcW w:w="651" w:type="dxa"/>
            <w:vAlign w:val="center"/>
          </w:tcPr>
          <w:p w14:paraId="4FEF1502">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cs="宋体"/>
                <w:b w:val="0"/>
                <w:bCs/>
                <w:i w:val="0"/>
                <w:iCs w:val="0"/>
                <w:caps w:val="0"/>
                <w:spacing w:val="0"/>
                <w:sz w:val="21"/>
                <w:szCs w:val="21"/>
                <w:shd w:val="clear" w:color="auto" w:fill="auto"/>
                <w:lang w:val="en-US" w:eastAsia="zh-CN"/>
              </w:rPr>
              <w:t>技术</w:t>
            </w:r>
            <w:r>
              <w:rPr>
                <w:rFonts w:hint="eastAsia" w:ascii="宋体" w:hAnsi="宋体" w:eastAsia="宋体" w:cs="宋体"/>
                <w:b w:val="0"/>
                <w:bCs/>
                <w:i w:val="0"/>
                <w:iCs w:val="0"/>
                <w:caps w:val="0"/>
                <w:spacing w:val="0"/>
                <w:sz w:val="21"/>
                <w:szCs w:val="21"/>
                <w:shd w:val="clear" w:color="auto" w:fill="auto"/>
              </w:rPr>
              <w:t>方案</w:t>
            </w:r>
          </w:p>
        </w:tc>
        <w:tc>
          <w:tcPr>
            <w:tcW w:w="680" w:type="dxa"/>
            <w:vAlign w:val="center"/>
          </w:tcPr>
          <w:p w14:paraId="2205E098">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sz w:val="21"/>
                <w:szCs w:val="21"/>
                <w:shd w:val="clear" w:color="auto" w:fill="auto"/>
              </w:rPr>
              <w:t>15</w:t>
            </w:r>
          </w:p>
        </w:tc>
        <w:tc>
          <w:tcPr>
            <w:tcW w:w="6743" w:type="dxa"/>
            <w:vAlign w:val="center"/>
          </w:tcPr>
          <w:p w14:paraId="5CF2E79E">
            <w:pPr>
              <w:adjustRightInd w:val="0"/>
              <w:snapToGrid w:val="0"/>
              <w:jc w:val="center"/>
              <w:rPr>
                <w:rFonts w:hint="eastAsia" w:ascii="宋体" w:hAnsi="宋体" w:eastAsia="宋体" w:cs="宋体"/>
                <w:b w:val="0"/>
                <w:bCs/>
                <w:sz w:val="21"/>
                <w:szCs w:val="21"/>
                <w:shd w:val="clear" w:color="auto" w:fill="auto"/>
                <w:lang w:val="en-US" w:eastAsia="zh-CN"/>
              </w:rPr>
            </w:pPr>
            <w:r>
              <w:rPr>
                <w:rFonts w:hint="eastAsia" w:ascii="宋体" w:hAnsi="宋体" w:eastAsia="宋体" w:cs="宋体"/>
                <w:b w:val="0"/>
                <w:bCs/>
                <w:i w:val="0"/>
                <w:iCs w:val="0"/>
                <w:caps w:val="0"/>
                <w:spacing w:val="0"/>
                <w:sz w:val="21"/>
                <w:szCs w:val="21"/>
                <w:shd w:val="clear" w:color="auto" w:fill="auto"/>
              </w:rPr>
              <w:t>方案科学全面，涵盖所有设施设备，技术措施合理</w:t>
            </w:r>
            <w:r>
              <w:rPr>
                <w:rFonts w:hint="eastAsia" w:ascii="宋体" w:hAnsi="宋体" w:cs="宋体"/>
                <w:b w:val="0"/>
                <w:bCs/>
                <w:i w:val="0"/>
                <w:iCs w:val="0"/>
                <w:caps w:val="0"/>
                <w:spacing w:val="0"/>
                <w:sz w:val="21"/>
                <w:szCs w:val="21"/>
                <w:shd w:val="clear" w:color="auto" w:fill="auto"/>
                <w:lang w:eastAsia="zh-CN"/>
              </w:rPr>
              <w:t>。</w:t>
            </w:r>
          </w:p>
        </w:tc>
        <w:tc>
          <w:tcPr>
            <w:tcW w:w="965" w:type="dxa"/>
          </w:tcPr>
          <w:p w14:paraId="6DAC6F3D">
            <w:pPr>
              <w:snapToGrid w:val="0"/>
              <w:rPr>
                <w:rFonts w:ascii="宋体" w:hAnsi="宋体" w:cs="宋体"/>
                <w:sz w:val="21"/>
                <w:szCs w:val="21"/>
              </w:rPr>
            </w:pPr>
          </w:p>
        </w:tc>
      </w:tr>
      <w:tr w14:paraId="5DB1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20" w:type="dxa"/>
            <w:vAlign w:val="center"/>
          </w:tcPr>
          <w:p w14:paraId="7413BC4A">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2</w:t>
            </w:r>
          </w:p>
        </w:tc>
        <w:tc>
          <w:tcPr>
            <w:tcW w:w="651" w:type="dxa"/>
            <w:vAlign w:val="center"/>
          </w:tcPr>
          <w:p w14:paraId="342B566C">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响应程度</w:t>
            </w:r>
          </w:p>
        </w:tc>
        <w:tc>
          <w:tcPr>
            <w:tcW w:w="680" w:type="dxa"/>
            <w:vAlign w:val="center"/>
          </w:tcPr>
          <w:p w14:paraId="7D9F4AAB">
            <w:pPr>
              <w:adjustRightInd w:val="0"/>
              <w:snapToGrid w:val="0"/>
              <w:jc w:val="center"/>
              <w:rPr>
                <w:rFonts w:hint="default" w:ascii="宋体" w:hAnsi="宋体" w:eastAsia="宋体" w:cs="宋体"/>
                <w:b w:val="0"/>
                <w:bCs/>
                <w:sz w:val="21"/>
                <w:szCs w:val="21"/>
                <w:shd w:val="clear" w:color="auto" w:fill="auto"/>
                <w:lang w:val="en-US" w:eastAsia="zh-CN"/>
              </w:rPr>
            </w:pPr>
            <w:r>
              <w:rPr>
                <w:rFonts w:hint="eastAsia" w:ascii="宋体" w:hAnsi="宋体" w:cs="宋体"/>
                <w:b w:val="0"/>
                <w:bCs/>
                <w:sz w:val="21"/>
                <w:szCs w:val="21"/>
                <w:shd w:val="clear" w:color="auto" w:fill="auto"/>
                <w:lang w:val="en-US" w:eastAsia="zh-CN"/>
              </w:rPr>
              <w:t>10</w:t>
            </w:r>
          </w:p>
        </w:tc>
        <w:tc>
          <w:tcPr>
            <w:tcW w:w="6743" w:type="dxa"/>
            <w:vAlign w:val="center"/>
          </w:tcPr>
          <w:p w14:paraId="50CE4072">
            <w:pPr>
              <w:adjustRightInd w:val="0"/>
              <w:snapToGrid w:val="0"/>
              <w:jc w:val="center"/>
              <w:rPr>
                <w:rFonts w:hint="eastAsia" w:ascii="宋体" w:hAnsi="宋体" w:eastAsia="宋体" w:cs="宋体"/>
                <w:b w:val="0"/>
                <w:bCs/>
                <w:sz w:val="21"/>
                <w:szCs w:val="21"/>
                <w:shd w:val="clear" w:color="auto" w:fill="auto"/>
                <w:lang w:eastAsia="zh-CN"/>
              </w:rPr>
            </w:pPr>
            <w:r>
              <w:rPr>
                <w:rFonts w:hint="eastAsia" w:ascii="宋体" w:hAnsi="宋体" w:eastAsia="宋体" w:cs="宋体"/>
                <w:b w:val="0"/>
                <w:bCs/>
                <w:i w:val="0"/>
                <w:iCs w:val="0"/>
                <w:caps w:val="0"/>
                <w:spacing w:val="0"/>
                <w:sz w:val="21"/>
                <w:szCs w:val="21"/>
                <w:shd w:val="clear" w:color="auto" w:fill="auto"/>
              </w:rPr>
              <w:t>对招标文件技术要求响应全面且优于标准</w:t>
            </w:r>
            <w:r>
              <w:rPr>
                <w:rFonts w:hint="eastAsia" w:ascii="宋体" w:hAnsi="宋体" w:cs="宋体"/>
                <w:b w:val="0"/>
                <w:bCs/>
                <w:i w:val="0"/>
                <w:iCs w:val="0"/>
                <w:caps w:val="0"/>
                <w:spacing w:val="0"/>
                <w:sz w:val="21"/>
                <w:szCs w:val="21"/>
                <w:shd w:val="clear" w:color="auto" w:fill="auto"/>
                <w:lang w:eastAsia="zh-CN"/>
              </w:rPr>
              <w:t>。</w:t>
            </w:r>
          </w:p>
        </w:tc>
        <w:tc>
          <w:tcPr>
            <w:tcW w:w="965" w:type="dxa"/>
          </w:tcPr>
          <w:p w14:paraId="138B2FB5">
            <w:pPr>
              <w:snapToGrid w:val="0"/>
              <w:rPr>
                <w:rFonts w:ascii="宋体" w:hAnsi="宋体" w:cs="宋体"/>
                <w:sz w:val="21"/>
                <w:szCs w:val="21"/>
              </w:rPr>
            </w:pPr>
          </w:p>
        </w:tc>
      </w:tr>
      <w:tr w14:paraId="594A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20" w:type="dxa"/>
            <w:vAlign w:val="center"/>
          </w:tcPr>
          <w:p w14:paraId="0C251F42">
            <w:pPr>
              <w:adjustRightInd w:val="0"/>
              <w:snapToGrid w:val="0"/>
              <w:ind w:left="-105" w:leftChars="-50" w:right="-105" w:rightChars="-50"/>
              <w:jc w:val="center"/>
              <w:rPr>
                <w:rFonts w:hint="eastAsia" w:ascii="宋体" w:hAnsi="宋体" w:eastAsia="宋体" w:cs="宋体"/>
                <w:b w:val="0"/>
                <w:bCs/>
                <w:kern w:val="0"/>
                <w:sz w:val="21"/>
                <w:szCs w:val="21"/>
                <w:shd w:val="clear" w:color="auto" w:fill="auto"/>
                <w:lang w:eastAsia="zh-CN"/>
              </w:rPr>
            </w:pPr>
            <w:r>
              <w:rPr>
                <w:rFonts w:hint="eastAsia" w:ascii="宋体" w:hAnsi="宋体" w:cs="宋体"/>
                <w:b w:val="0"/>
                <w:bCs/>
                <w:kern w:val="0"/>
                <w:sz w:val="21"/>
                <w:szCs w:val="21"/>
                <w:shd w:val="clear" w:color="auto" w:fill="auto"/>
                <w:lang w:val="en-US" w:eastAsia="zh-CN"/>
              </w:rPr>
              <w:t>3</w:t>
            </w:r>
          </w:p>
        </w:tc>
        <w:tc>
          <w:tcPr>
            <w:tcW w:w="651" w:type="dxa"/>
            <w:vAlign w:val="center"/>
          </w:tcPr>
          <w:p w14:paraId="3F366F35">
            <w:pPr>
              <w:adjustRightInd w:val="0"/>
              <w:snapToGrid w:val="0"/>
              <w:ind w:left="-13" w:leftChars="-52" w:hanging="96" w:hangingChars="46"/>
              <w:jc w:val="center"/>
              <w:rPr>
                <w:rFonts w:hint="eastAsia" w:ascii="宋体" w:hAnsi="宋体" w:eastAsia="宋体" w:cs="宋体"/>
                <w:b w:val="0"/>
                <w:bCs/>
                <w:i w:val="0"/>
                <w:iCs w:val="0"/>
                <w:caps w:val="0"/>
                <w:spacing w:val="0"/>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应急</w:t>
            </w:r>
          </w:p>
          <w:p w14:paraId="072CD117">
            <w:pPr>
              <w:adjustRightInd w:val="0"/>
              <w:snapToGrid w:val="0"/>
              <w:ind w:left="-13" w:leftChars="-52" w:hanging="96" w:hangingChars="46"/>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预案</w:t>
            </w:r>
          </w:p>
        </w:tc>
        <w:tc>
          <w:tcPr>
            <w:tcW w:w="680" w:type="dxa"/>
            <w:vAlign w:val="center"/>
          </w:tcPr>
          <w:p w14:paraId="5D5E15FA">
            <w:pPr>
              <w:adjustRightInd w:val="0"/>
              <w:snapToGrid w:val="0"/>
              <w:ind w:left="-105" w:leftChars="-50" w:right="-105" w:rightChars="-50"/>
              <w:jc w:val="center"/>
              <w:rPr>
                <w:rFonts w:hint="default" w:ascii="宋体" w:hAnsi="宋体" w:eastAsia="宋体" w:cs="宋体"/>
                <w:b w:val="0"/>
                <w:bCs/>
                <w:sz w:val="21"/>
                <w:szCs w:val="21"/>
                <w:shd w:val="clear" w:color="auto" w:fill="auto"/>
                <w:lang w:val="en-US" w:eastAsia="zh-CN"/>
              </w:rPr>
            </w:pPr>
            <w:r>
              <w:rPr>
                <w:rFonts w:hint="eastAsia" w:ascii="宋体" w:hAnsi="宋体" w:cs="宋体"/>
                <w:b w:val="0"/>
                <w:bCs/>
                <w:sz w:val="21"/>
                <w:szCs w:val="21"/>
                <w:shd w:val="clear" w:color="auto" w:fill="auto"/>
                <w:lang w:val="en-US" w:eastAsia="zh-CN"/>
              </w:rPr>
              <w:t>10</w:t>
            </w:r>
          </w:p>
        </w:tc>
        <w:tc>
          <w:tcPr>
            <w:tcW w:w="6743" w:type="dxa"/>
            <w:vAlign w:val="center"/>
          </w:tcPr>
          <w:p w14:paraId="692AAA04">
            <w:pPr>
              <w:adjustRightInd w:val="0"/>
              <w:snapToGrid w:val="0"/>
              <w:jc w:val="center"/>
              <w:rPr>
                <w:rFonts w:hint="eastAsia" w:ascii="宋体" w:hAnsi="宋体" w:eastAsia="宋体" w:cs="宋体"/>
                <w:b w:val="0"/>
                <w:bCs/>
                <w:sz w:val="21"/>
                <w:szCs w:val="21"/>
                <w:shd w:val="clear" w:color="auto" w:fill="auto"/>
              </w:rPr>
            </w:pPr>
            <w:r>
              <w:rPr>
                <w:rFonts w:hint="eastAsia" w:ascii="宋体" w:hAnsi="宋体" w:eastAsia="宋体" w:cs="宋体"/>
                <w:b w:val="0"/>
                <w:bCs/>
                <w:i w:val="0"/>
                <w:iCs w:val="0"/>
                <w:caps w:val="0"/>
                <w:spacing w:val="0"/>
                <w:sz w:val="21"/>
                <w:szCs w:val="21"/>
                <w:shd w:val="clear" w:color="auto" w:fill="auto"/>
              </w:rPr>
              <w:t>应急预案完整、可行。</w:t>
            </w:r>
          </w:p>
        </w:tc>
        <w:tc>
          <w:tcPr>
            <w:tcW w:w="965" w:type="dxa"/>
          </w:tcPr>
          <w:p w14:paraId="24C94AE0">
            <w:pPr>
              <w:snapToGrid w:val="0"/>
              <w:rPr>
                <w:rFonts w:ascii="宋体" w:hAnsi="宋体" w:cs="宋体"/>
                <w:sz w:val="21"/>
                <w:szCs w:val="21"/>
              </w:rPr>
            </w:pPr>
          </w:p>
        </w:tc>
      </w:tr>
      <w:tr w14:paraId="1BF5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8" w:hRule="atLeast"/>
          <w:jc w:val="center"/>
        </w:trPr>
        <w:tc>
          <w:tcPr>
            <w:tcW w:w="620" w:type="dxa"/>
            <w:vAlign w:val="center"/>
          </w:tcPr>
          <w:p w14:paraId="66F1E797">
            <w:pPr>
              <w:adjustRightInd w:val="0"/>
              <w:snapToGrid w:val="0"/>
              <w:ind w:left="-105" w:leftChars="-50" w:right="-105" w:rightChars="-5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651" w:type="dxa"/>
            <w:vAlign w:val="center"/>
          </w:tcPr>
          <w:p w14:paraId="1FF10D96">
            <w:pPr>
              <w:adjustRightInd w:val="0"/>
              <w:snapToGrid w:val="0"/>
              <w:ind w:left="-13" w:leftChars="-52" w:hanging="96" w:hangingChars="46"/>
              <w:jc w:val="center"/>
              <w:rPr>
                <w:rFonts w:hint="eastAsia" w:ascii="Segoe UI" w:hAnsi="Segoe UI" w:cs="Segoe UI"/>
                <w:b w:val="0"/>
                <w:bCs/>
                <w:i w:val="0"/>
                <w:iCs w:val="0"/>
                <w:caps w:val="0"/>
                <w:spacing w:val="0"/>
                <w:sz w:val="21"/>
                <w:szCs w:val="21"/>
                <w:shd w:val="clear" w:color="auto" w:fill="auto"/>
                <w:lang w:val="en-US" w:eastAsia="zh-CN"/>
              </w:rPr>
            </w:pPr>
            <w:r>
              <w:rPr>
                <w:rFonts w:hint="eastAsia" w:ascii="Segoe UI" w:hAnsi="Segoe UI" w:cs="Segoe UI"/>
                <w:b w:val="0"/>
                <w:bCs/>
                <w:i w:val="0"/>
                <w:iCs w:val="0"/>
                <w:caps w:val="0"/>
                <w:spacing w:val="0"/>
                <w:sz w:val="21"/>
                <w:szCs w:val="21"/>
                <w:shd w:val="clear" w:color="auto" w:fill="auto"/>
                <w:lang w:val="en-US" w:eastAsia="zh-CN"/>
              </w:rPr>
              <w:t>资质</w:t>
            </w:r>
          </w:p>
          <w:p w14:paraId="5CEFB104">
            <w:pPr>
              <w:adjustRightInd w:val="0"/>
              <w:snapToGrid w:val="0"/>
              <w:ind w:left="-13" w:leftChars="-52" w:hanging="96" w:hangingChars="46"/>
              <w:jc w:val="center"/>
              <w:rPr>
                <w:rFonts w:hint="default" w:ascii="Segoe UI" w:hAnsi="Segoe UI" w:eastAsia="宋体" w:cs="Segoe UI"/>
                <w:b w:val="0"/>
                <w:bCs/>
                <w:i w:val="0"/>
                <w:iCs w:val="0"/>
                <w:caps w:val="0"/>
                <w:spacing w:val="0"/>
                <w:sz w:val="21"/>
                <w:szCs w:val="21"/>
                <w:shd w:val="clear" w:fill="EFF0F1"/>
                <w:lang w:val="en-US" w:eastAsia="zh-CN"/>
              </w:rPr>
            </w:pPr>
            <w:r>
              <w:rPr>
                <w:rFonts w:hint="eastAsia" w:ascii="Segoe UI" w:hAnsi="Segoe UI" w:cs="Segoe UI"/>
                <w:b w:val="0"/>
                <w:bCs/>
                <w:i w:val="0"/>
                <w:iCs w:val="0"/>
                <w:caps w:val="0"/>
                <w:spacing w:val="0"/>
                <w:sz w:val="21"/>
                <w:szCs w:val="21"/>
                <w:shd w:val="clear" w:color="auto" w:fill="auto"/>
                <w:lang w:val="en-US" w:eastAsia="zh-CN"/>
              </w:rPr>
              <w:t>要求</w:t>
            </w:r>
          </w:p>
        </w:tc>
        <w:tc>
          <w:tcPr>
            <w:tcW w:w="680" w:type="dxa"/>
            <w:vAlign w:val="center"/>
          </w:tcPr>
          <w:p w14:paraId="114B6644">
            <w:pPr>
              <w:adjustRightInd w:val="0"/>
              <w:snapToGrid w:val="0"/>
              <w:ind w:left="-105" w:leftChars="-50" w:right="-105" w:rightChars="-5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6743" w:type="dxa"/>
            <w:vAlign w:val="center"/>
          </w:tcPr>
          <w:p w14:paraId="3EA22F2E">
            <w:pPr>
              <w:tabs>
                <w:tab w:val="left" w:pos="1275"/>
              </w:tabs>
              <w:adjustRightInd w:val="0"/>
              <w:snapToGrid w:val="0"/>
              <w:rPr>
                <w:rFonts w:ascii="宋体" w:hAnsi="宋体" w:cs="宋体"/>
                <w:sz w:val="21"/>
                <w:szCs w:val="21"/>
              </w:rPr>
            </w:pPr>
            <w:r>
              <w:rPr>
                <w:rFonts w:hint="eastAsia" w:ascii="宋体" w:hAnsi="宋体" w:cs="宋体"/>
                <w:sz w:val="21"/>
                <w:szCs w:val="21"/>
              </w:rPr>
              <w:t>1、投标产品制造商获得ISO9001质量管理体系认证证书的得1分(提供复印件，加盖投标人公章)</w:t>
            </w:r>
          </w:p>
          <w:p w14:paraId="172D1C9A">
            <w:pPr>
              <w:tabs>
                <w:tab w:val="left" w:pos="1275"/>
              </w:tabs>
              <w:adjustRightInd w:val="0"/>
              <w:snapToGrid w:val="0"/>
              <w:rPr>
                <w:rFonts w:ascii="宋体" w:hAnsi="宋体" w:cs="宋体"/>
                <w:sz w:val="21"/>
                <w:szCs w:val="21"/>
              </w:rPr>
            </w:pPr>
            <w:r>
              <w:rPr>
                <w:rFonts w:hint="eastAsia" w:ascii="宋体" w:hAnsi="宋体" w:cs="宋体"/>
                <w:sz w:val="21"/>
                <w:szCs w:val="21"/>
              </w:rPr>
              <w:t>2、投标产品制造商具有ISO14001环境管理体系认证证书的得1分(提供复印件，加盖投标人公章)</w:t>
            </w:r>
          </w:p>
          <w:p w14:paraId="50D67669">
            <w:pPr>
              <w:pStyle w:val="5"/>
              <w:adjustRightInd w:val="0"/>
              <w:snapToGrid w:val="0"/>
              <w:ind w:firstLine="0" w:firstLineChars="0"/>
              <w:rPr>
                <w:rFonts w:ascii="宋体" w:hAnsi="宋体" w:cs="宋体"/>
                <w:sz w:val="21"/>
                <w:szCs w:val="21"/>
              </w:rPr>
            </w:pPr>
            <w:r>
              <w:rPr>
                <w:rFonts w:hint="eastAsia" w:ascii="宋体" w:hAnsi="宋体" w:cs="宋体"/>
                <w:sz w:val="21"/>
                <w:szCs w:val="21"/>
              </w:rPr>
              <w:t>3、投标产品制造商具有ISO45001职业健康安全管理体系认证证书的得1分(提供复印件，加盖投标人公章)</w:t>
            </w:r>
          </w:p>
          <w:p w14:paraId="538989EE">
            <w:pPr>
              <w:pStyle w:val="5"/>
              <w:adjustRightInd w:val="0"/>
              <w:snapToGrid w:val="0"/>
              <w:ind w:firstLine="0" w:firstLineChars="0"/>
              <w:rPr>
                <w:rFonts w:ascii="宋体" w:hAnsi="宋体" w:cs="宋体"/>
                <w:sz w:val="21"/>
                <w:szCs w:val="21"/>
              </w:rPr>
            </w:pPr>
            <w:r>
              <w:rPr>
                <w:rFonts w:hint="eastAsia" w:ascii="宋体" w:hAnsi="宋体" w:cs="宋体"/>
                <w:sz w:val="21"/>
                <w:szCs w:val="21"/>
              </w:rPr>
              <w:t>4、投标产品制造商为高新技术企业的得2分。(提供证书及查询截图，加盖投标人公章)</w:t>
            </w:r>
          </w:p>
          <w:p w14:paraId="4BD48712">
            <w:pPr>
              <w:adjustRightInd w:val="0"/>
              <w:snapToGrid w:val="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en-US" w:eastAsia="zh-CN"/>
              </w:rPr>
              <w:t>类似的相关院校授予</w:t>
            </w:r>
            <w:r>
              <w:rPr>
                <w:rFonts w:hint="eastAsia" w:ascii="宋体" w:hAnsi="宋体" w:cs="宋体"/>
                <w:sz w:val="21"/>
                <w:szCs w:val="21"/>
              </w:rPr>
              <w:t>荣誉证书的得1分(提供复印件，加盖投标人公章)</w:t>
            </w:r>
          </w:p>
        </w:tc>
        <w:tc>
          <w:tcPr>
            <w:tcW w:w="965" w:type="dxa"/>
          </w:tcPr>
          <w:p w14:paraId="0838C476">
            <w:pPr>
              <w:snapToGrid w:val="0"/>
              <w:rPr>
                <w:rFonts w:ascii="宋体" w:hAnsi="宋体" w:cs="宋体"/>
                <w:sz w:val="21"/>
                <w:szCs w:val="21"/>
              </w:rPr>
            </w:pPr>
          </w:p>
        </w:tc>
      </w:tr>
      <w:tr w14:paraId="6669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659" w:type="dxa"/>
            <w:gridSpan w:val="5"/>
            <w:vAlign w:val="center"/>
          </w:tcPr>
          <w:p w14:paraId="0D53E446">
            <w:pPr>
              <w:adjustRightInd w:val="0"/>
              <w:snapToGrid w:val="0"/>
              <w:jc w:val="center"/>
              <w:rPr>
                <w:rFonts w:ascii="宋体" w:hAnsi="宋体" w:cs="宋体"/>
                <w:szCs w:val="21"/>
              </w:rPr>
            </w:pPr>
            <w:r>
              <w:rPr>
                <w:rFonts w:hint="eastAsia" w:ascii="宋体" w:hAnsi="宋体" w:cs="宋体"/>
                <w:sz w:val="24"/>
                <w:szCs w:val="24"/>
              </w:rPr>
              <w:t>三、</w:t>
            </w:r>
            <w:r>
              <w:rPr>
                <w:rFonts w:hint="eastAsia" w:ascii="宋体" w:hAnsi="宋体" w:cs="宋体"/>
                <w:sz w:val="24"/>
                <w:szCs w:val="24"/>
                <w:lang w:val="en-US" w:eastAsia="zh-CN"/>
              </w:rPr>
              <w:t>商务</w:t>
            </w:r>
            <w:r>
              <w:rPr>
                <w:rFonts w:hint="eastAsia" w:ascii="宋体" w:hAnsi="宋体" w:cs="宋体"/>
                <w:sz w:val="24"/>
                <w:szCs w:val="24"/>
              </w:rPr>
              <w:t>部分（</w:t>
            </w:r>
            <w:r>
              <w:rPr>
                <w:rFonts w:hint="eastAsia" w:ascii="宋体" w:hAnsi="宋体" w:cs="宋体"/>
                <w:sz w:val="24"/>
                <w:szCs w:val="24"/>
                <w:lang w:val="en-US" w:eastAsia="zh-CN"/>
              </w:rPr>
              <w:t>30</w:t>
            </w:r>
            <w:r>
              <w:rPr>
                <w:rFonts w:hint="eastAsia" w:ascii="宋体" w:hAnsi="宋体" w:cs="宋体"/>
                <w:sz w:val="24"/>
                <w:szCs w:val="24"/>
              </w:rPr>
              <w:t>）</w:t>
            </w:r>
          </w:p>
        </w:tc>
      </w:tr>
      <w:tr w14:paraId="15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620" w:type="dxa"/>
            <w:vAlign w:val="center"/>
          </w:tcPr>
          <w:p w14:paraId="68DC4832">
            <w:pPr>
              <w:adjustRightInd w:val="0"/>
              <w:snapToGrid w:val="0"/>
              <w:jc w:val="center"/>
              <w:rPr>
                <w:rFonts w:hint="eastAsia" w:ascii="宋体" w:hAnsi="宋体" w:eastAsia="宋体" w:cs="宋体"/>
                <w:kern w:val="0"/>
                <w:szCs w:val="21"/>
                <w:lang w:eastAsia="zh-CN"/>
              </w:rPr>
            </w:pPr>
            <w:r>
              <w:rPr>
                <w:rFonts w:hint="eastAsia" w:ascii="宋体" w:hAnsi="宋体" w:cs="宋体"/>
                <w:szCs w:val="21"/>
                <w:lang w:val="en-US" w:eastAsia="zh-CN"/>
              </w:rPr>
              <w:t>1</w:t>
            </w:r>
          </w:p>
        </w:tc>
        <w:tc>
          <w:tcPr>
            <w:tcW w:w="651" w:type="dxa"/>
            <w:vAlign w:val="center"/>
          </w:tcPr>
          <w:p w14:paraId="2A15590E">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企业业绩</w:t>
            </w:r>
          </w:p>
        </w:tc>
        <w:tc>
          <w:tcPr>
            <w:tcW w:w="680" w:type="dxa"/>
            <w:vAlign w:val="center"/>
          </w:tcPr>
          <w:p w14:paraId="10063B6A">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6743" w:type="dxa"/>
            <w:vAlign w:val="center"/>
          </w:tcPr>
          <w:p w14:paraId="68C0EB37">
            <w:pPr>
              <w:adjustRightInd w:val="0"/>
              <w:snapToGrid w:val="0"/>
              <w:jc w:val="center"/>
              <w:rPr>
                <w:rFonts w:ascii="宋体" w:hAnsi="宋体" w:cs="宋体"/>
                <w:kern w:val="0"/>
                <w:szCs w:val="21"/>
              </w:rPr>
            </w:pPr>
            <w:r>
              <w:rPr>
                <w:rFonts w:hint="default" w:ascii="宋体" w:hAnsi="宋体" w:eastAsia="宋体" w:cs="宋体"/>
                <w:b w:val="0"/>
                <w:bCs/>
                <w:i w:val="0"/>
                <w:iCs w:val="0"/>
                <w:caps w:val="0"/>
                <w:spacing w:val="0"/>
                <w:sz w:val="21"/>
                <w:szCs w:val="21"/>
                <w:shd w:val="clear" w:color="auto" w:fill="auto"/>
              </w:rPr>
              <w:t>近三年有 3 个及以上同类高校或企业维修维保业绩</w:t>
            </w:r>
            <w:r>
              <w:rPr>
                <w:rFonts w:hint="eastAsia" w:ascii="宋体" w:hAnsi="宋体" w:eastAsia="宋体" w:cs="宋体"/>
                <w:b w:val="0"/>
                <w:bCs/>
                <w:i w:val="0"/>
                <w:iCs w:val="0"/>
                <w:caps w:val="0"/>
                <w:spacing w:val="0"/>
                <w:sz w:val="21"/>
                <w:szCs w:val="21"/>
                <w:shd w:val="clear" w:color="auto" w:fill="auto"/>
                <w:lang w:eastAsia="zh-CN"/>
              </w:rPr>
              <w:t>。</w:t>
            </w:r>
          </w:p>
        </w:tc>
        <w:tc>
          <w:tcPr>
            <w:tcW w:w="965" w:type="dxa"/>
          </w:tcPr>
          <w:p w14:paraId="4C0C795E">
            <w:pPr>
              <w:snapToGrid w:val="0"/>
              <w:rPr>
                <w:rFonts w:ascii="宋体" w:hAnsi="宋体" w:cs="宋体"/>
                <w:szCs w:val="21"/>
              </w:rPr>
            </w:pPr>
          </w:p>
        </w:tc>
      </w:tr>
      <w:tr w14:paraId="3F7B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620" w:type="dxa"/>
            <w:vAlign w:val="center"/>
          </w:tcPr>
          <w:p w14:paraId="255EF20B">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651" w:type="dxa"/>
            <w:vAlign w:val="center"/>
          </w:tcPr>
          <w:p w14:paraId="46784498">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人员资质</w:t>
            </w:r>
          </w:p>
        </w:tc>
        <w:tc>
          <w:tcPr>
            <w:tcW w:w="680" w:type="dxa"/>
            <w:vAlign w:val="center"/>
          </w:tcPr>
          <w:p w14:paraId="0EEC68B1">
            <w:pPr>
              <w:adjustRightInd w:val="0"/>
              <w:snapToGrid w:val="0"/>
              <w:jc w:val="center"/>
              <w:rPr>
                <w:rFonts w:ascii="宋体" w:hAnsi="宋体" w:cs="宋体"/>
                <w:szCs w:val="21"/>
              </w:rPr>
            </w:pPr>
            <w:r>
              <w:rPr>
                <w:rFonts w:hint="eastAsia" w:ascii="宋体" w:hAnsi="宋体" w:cs="宋体"/>
                <w:szCs w:val="21"/>
              </w:rPr>
              <w:t>5</w:t>
            </w:r>
          </w:p>
        </w:tc>
        <w:tc>
          <w:tcPr>
            <w:tcW w:w="6743" w:type="dxa"/>
            <w:vAlign w:val="center"/>
          </w:tcPr>
          <w:p w14:paraId="2570C802">
            <w:pPr>
              <w:numPr>
                <w:ilvl w:val="0"/>
                <w:numId w:val="0"/>
              </w:numPr>
              <w:snapToGrid w:val="0"/>
              <w:ind w:leftChars="0"/>
              <w:jc w:val="center"/>
              <w:rPr>
                <w:rFonts w:ascii="宋体" w:hAnsi="宋体" w:cs="宋体"/>
                <w:szCs w:val="21"/>
              </w:rPr>
            </w:pPr>
            <w:r>
              <w:rPr>
                <w:rFonts w:hint="default" w:ascii="宋体" w:hAnsi="宋体" w:eastAsia="宋体" w:cs="宋体"/>
                <w:szCs w:val="21"/>
              </w:rPr>
              <w:t>技术人员均具备相关专业资质且经验丰富</w:t>
            </w:r>
            <w:r>
              <w:rPr>
                <w:rFonts w:hint="eastAsia" w:ascii="宋体" w:hAnsi="宋体" w:cs="宋体"/>
                <w:szCs w:val="21"/>
                <w:lang w:eastAsia="zh-CN"/>
              </w:rPr>
              <w:t>。</w:t>
            </w:r>
          </w:p>
        </w:tc>
        <w:tc>
          <w:tcPr>
            <w:tcW w:w="965" w:type="dxa"/>
            <w:vAlign w:val="center"/>
          </w:tcPr>
          <w:p w14:paraId="72B5B204">
            <w:pPr>
              <w:snapToGrid w:val="0"/>
              <w:rPr>
                <w:rFonts w:ascii="宋体" w:hAnsi="宋体" w:cs="宋体"/>
                <w:szCs w:val="21"/>
              </w:rPr>
            </w:pPr>
          </w:p>
        </w:tc>
      </w:tr>
      <w:tr w14:paraId="5A5A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620" w:type="dxa"/>
            <w:vAlign w:val="center"/>
          </w:tcPr>
          <w:p w14:paraId="0A54F5A4">
            <w:pPr>
              <w:adjustRightInd w:val="0"/>
              <w:snapToGrid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51" w:type="dxa"/>
            <w:vAlign w:val="center"/>
          </w:tcPr>
          <w:p w14:paraId="786051CB">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i w:val="0"/>
                <w:iCs w:val="0"/>
                <w:caps w:val="0"/>
                <w:spacing w:val="0"/>
                <w:sz w:val="21"/>
                <w:szCs w:val="21"/>
                <w:shd w:val="clear" w:color="auto" w:fill="auto"/>
              </w:rPr>
              <w:t>企业信誉</w:t>
            </w:r>
          </w:p>
        </w:tc>
        <w:tc>
          <w:tcPr>
            <w:tcW w:w="680" w:type="dxa"/>
            <w:vAlign w:val="center"/>
          </w:tcPr>
          <w:p w14:paraId="222EC1F3">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6743" w:type="dxa"/>
            <w:vAlign w:val="center"/>
          </w:tcPr>
          <w:p w14:paraId="76D33BA6">
            <w:pPr>
              <w:numPr>
                <w:ilvl w:val="0"/>
                <w:numId w:val="0"/>
              </w:numPr>
              <w:snapToGrid w:val="0"/>
              <w:ind w:leftChars="0"/>
              <w:jc w:val="center"/>
              <w:rPr>
                <w:rFonts w:ascii="宋体" w:hAnsi="宋体" w:cs="宋体"/>
                <w:kern w:val="0"/>
                <w:szCs w:val="21"/>
              </w:rPr>
            </w:pPr>
            <w:r>
              <w:rPr>
                <w:rFonts w:hint="default" w:ascii="宋体" w:hAnsi="宋体" w:eastAsia="宋体" w:cs="宋体"/>
                <w:szCs w:val="21"/>
              </w:rPr>
              <w:t>企业信誉良好，无不良记录</w:t>
            </w:r>
            <w:r>
              <w:rPr>
                <w:rFonts w:hint="eastAsia" w:ascii="宋体" w:hAnsi="宋体" w:cs="宋体"/>
                <w:szCs w:val="21"/>
                <w:lang w:eastAsia="zh-CN"/>
              </w:rPr>
              <w:t>。</w:t>
            </w:r>
          </w:p>
        </w:tc>
        <w:tc>
          <w:tcPr>
            <w:tcW w:w="965" w:type="dxa"/>
            <w:vAlign w:val="center"/>
          </w:tcPr>
          <w:p w14:paraId="20A44E3C">
            <w:pPr>
              <w:snapToGrid w:val="0"/>
              <w:jc w:val="center"/>
              <w:rPr>
                <w:rFonts w:ascii="宋体" w:hAnsi="宋体" w:cs="宋体"/>
                <w:szCs w:val="21"/>
              </w:rPr>
            </w:pPr>
          </w:p>
        </w:tc>
      </w:tr>
      <w:tr w14:paraId="4912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620" w:type="dxa"/>
            <w:vAlign w:val="center"/>
          </w:tcPr>
          <w:p w14:paraId="4EE0AB8B">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651" w:type="dxa"/>
            <w:vAlign w:val="center"/>
          </w:tcPr>
          <w:p w14:paraId="1C21D97A">
            <w:pPr>
              <w:adjustRightInd w:val="0"/>
              <w:snapToGrid w:val="0"/>
              <w:jc w:val="center"/>
              <w:rPr>
                <w:rFonts w:hint="eastAsia" w:ascii="宋体" w:hAnsi="宋体" w:eastAsia="宋体" w:cs="宋体"/>
                <w:b w:val="0"/>
                <w:bCs w:val="0"/>
                <w:sz w:val="21"/>
                <w:szCs w:val="21"/>
                <w:shd w:val="clear" w:color="auto" w:fill="auto"/>
              </w:rPr>
            </w:pPr>
            <w:r>
              <w:rPr>
                <w:rFonts w:hint="eastAsia" w:ascii="宋体" w:hAnsi="宋体" w:eastAsia="宋体" w:cs="宋体"/>
                <w:b w:val="0"/>
                <w:bCs w:val="0"/>
                <w:sz w:val="21"/>
                <w:szCs w:val="21"/>
                <w:shd w:val="clear" w:color="auto" w:fill="auto"/>
              </w:rPr>
              <w:t>售后服务</w:t>
            </w:r>
          </w:p>
        </w:tc>
        <w:tc>
          <w:tcPr>
            <w:tcW w:w="680" w:type="dxa"/>
            <w:vAlign w:val="center"/>
          </w:tcPr>
          <w:p w14:paraId="59A0D8F6">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743" w:type="dxa"/>
            <w:vAlign w:val="center"/>
          </w:tcPr>
          <w:p w14:paraId="412F7615">
            <w:pPr>
              <w:numPr>
                <w:ilvl w:val="0"/>
                <w:numId w:val="0"/>
              </w:numPr>
              <w:snapToGrid w:val="0"/>
              <w:ind w:leftChars="0"/>
              <w:jc w:val="center"/>
              <w:rPr>
                <w:rFonts w:ascii="宋体" w:hAnsi="宋体" w:cs="宋体"/>
                <w:kern w:val="0"/>
                <w:szCs w:val="21"/>
              </w:rPr>
            </w:pPr>
            <w:r>
              <w:rPr>
                <w:rFonts w:hint="default" w:ascii="宋体" w:hAnsi="宋体" w:eastAsia="宋体" w:cs="宋体"/>
                <w:szCs w:val="21"/>
              </w:rPr>
              <w:t>服务承诺具体、响应及时，保障措施完善，</w:t>
            </w:r>
            <w:r>
              <w:rPr>
                <w:rFonts w:hint="eastAsia" w:ascii="宋体" w:hAnsi="宋体" w:eastAsia="宋体" w:cs="宋体"/>
                <w:szCs w:val="21"/>
              </w:rPr>
              <w:t>在武汉地区有固定经营场所和完</w:t>
            </w:r>
            <w:r>
              <w:rPr>
                <w:rFonts w:hint="default" w:ascii="宋体" w:hAnsi="宋体" w:eastAsia="宋体" w:cs="宋体"/>
                <w:szCs w:val="21"/>
              </w:rPr>
              <w:t>善</w:t>
            </w:r>
            <w:r>
              <w:rPr>
                <w:rFonts w:hint="eastAsia" w:ascii="宋体" w:hAnsi="宋体" w:eastAsia="宋体" w:cs="宋体"/>
                <w:szCs w:val="21"/>
              </w:rPr>
              <w:t>的售后服务队伍，能提供紧急服务和本地化技术服务。</w:t>
            </w:r>
          </w:p>
        </w:tc>
        <w:tc>
          <w:tcPr>
            <w:tcW w:w="965" w:type="dxa"/>
            <w:vAlign w:val="center"/>
          </w:tcPr>
          <w:p w14:paraId="276E2F21">
            <w:pPr>
              <w:snapToGrid w:val="0"/>
              <w:jc w:val="center"/>
              <w:rPr>
                <w:rFonts w:ascii="宋体" w:hAnsi="宋体" w:cs="宋体"/>
                <w:szCs w:val="21"/>
              </w:rPr>
            </w:pPr>
          </w:p>
        </w:tc>
      </w:tr>
    </w:tbl>
    <w:p w14:paraId="762BF75D">
      <w:pPr>
        <w:keepNext w:val="0"/>
        <w:keepLines w:val="0"/>
        <w:widowControl/>
        <w:numPr>
          <w:ilvl w:val="0"/>
          <w:numId w:val="0"/>
        </w:numPr>
        <w:suppressLineNumbers w:val="0"/>
        <w:pBdr>
          <w:left w:val="none" w:color="auto" w:sz="0" w:space="0"/>
        </w:pBdr>
        <w:spacing w:before="0" w:beforeAutospacing="0" w:after="0" w:afterAutospacing="0" w:line="24" w:lineRule="atLeast"/>
        <w:jc w:val="both"/>
        <w:rPr>
          <w:rFonts w:hint="eastAsia" w:eastAsia="宋体"/>
          <w:lang w:eastAsia="zh-CN"/>
        </w:rPr>
      </w:pPr>
    </w:p>
    <w:p w14:paraId="31B66226">
      <w:pPr>
        <w:keepNext w:val="0"/>
        <w:keepLines w:val="0"/>
        <w:widowControl/>
        <w:numPr>
          <w:ilvl w:val="0"/>
          <w:numId w:val="0"/>
        </w:numPr>
        <w:suppressLineNumbers w:val="0"/>
        <w:pBdr>
          <w:left w:val="none" w:color="auto" w:sz="0" w:space="0"/>
        </w:pBdr>
        <w:spacing w:before="0" w:beforeAutospacing="0" w:after="0" w:afterAutospacing="0" w:line="24" w:lineRule="atLeast"/>
        <w:jc w:val="both"/>
        <w:rPr>
          <w:rFonts w:hint="eastAsia" w:eastAsia="宋体"/>
          <w:lang w:eastAsia="zh-CN"/>
        </w:rPr>
      </w:pPr>
    </w:p>
    <w:sectPr>
      <w:pgSz w:w="11906" w:h="16838"/>
      <w:pgMar w:top="1134" w:right="1800" w:bottom="1134"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64C8E"/>
    <w:multiLevelType w:val="singleLevel"/>
    <w:tmpl w:val="84164C8E"/>
    <w:lvl w:ilvl="0" w:tentative="0">
      <w:start w:val="1"/>
      <w:numFmt w:val="decimal"/>
      <w:suff w:val="nothing"/>
      <w:lvlText w:val="%1、"/>
      <w:lvlJc w:val="left"/>
    </w:lvl>
  </w:abstractNum>
  <w:abstractNum w:abstractNumId="1">
    <w:nsid w:val="90A81212"/>
    <w:multiLevelType w:val="multilevel"/>
    <w:tmpl w:val="90A8121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9B61A562"/>
    <w:multiLevelType w:val="singleLevel"/>
    <w:tmpl w:val="9B61A562"/>
    <w:lvl w:ilvl="0" w:tentative="0">
      <w:start w:val="1"/>
      <w:numFmt w:val="chineseCounting"/>
      <w:suff w:val="nothing"/>
      <w:lvlText w:val="%1、"/>
      <w:lvlJc w:val="left"/>
      <w:pPr>
        <w:ind w:left="0" w:firstLine="420"/>
      </w:pPr>
      <w:rPr>
        <w:rFonts w:hint="eastAsia"/>
      </w:rPr>
    </w:lvl>
  </w:abstractNum>
  <w:abstractNum w:abstractNumId="3">
    <w:nsid w:val="CA53DFFE"/>
    <w:multiLevelType w:val="singleLevel"/>
    <w:tmpl w:val="CA53DFFE"/>
    <w:lvl w:ilvl="0" w:tentative="0">
      <w:start w:val="1"/>
      <w:numFmt w:val="decimal"/>
      <w:lvlText w:val="%1."/>
      <w:lvlJc w:val="left"/>
      <w:pPr>
        <w:ind w:left="425" w:hanging="425"/>
      </w:pPr>
      <w:rPr>
        <w:rFonts w:hint="default"/>
      </w:rPr>
    </w:lvl>
  </w:abstractNum>
  <w:abstractNum w:abstractNumId="4">
    <w:nsid w:val="D1D511CA"/>
    <w:multiLevelType w:val="singleLevel"/>
    <w:tmpl w:val="D1D511CA"/>
    <w:lvl w:ilvl="0" w:tentative="0">
      <w:start w:val="5"/>
      <w:numFmt w:val="chineseCounting"/>
      <w:suff w:val="nothing"/>
      <w:lvlText w:val="%1、"/>
      <w:lvlJc w:val="left"/>
      <w:pPr>
        <w:tabs>
          <w:tab w:val="left" w:pos="0"/>
        </w:tabs>
        <w:ind w:left="0" w:firstLine="420"/>
      </w:pPr>
      <w:rPr>
        <w:rFonts w:hint="eastAsia"/>
      </w:rPr>
    </w:lvl>
  </w:abstractNum>
  <w:abstractNum w:abstractNumId="5">
    <w:nsid w:val="F6AA51FA"/>
    <w:multiLevelType w:val="singleLevel"/>
    <w:tmpl w:val="F6AA51FA"/>
    <w:lvl w:ilvl="0" w:tentative="0">
      <w:start w:val="1"/>
      <w:numFmt w:val="decimal"/>
      <w:lvlText w:val="%1."/>
      <w:lvlJc w:val="left"/>
      <w:pPr>
        <w:ind w:left="425" w:hanging="425"/>
      </w:pPr>
      <w:rPr>
        <w:rFonts w:hint="default"/>
      </w:rPr>
    </w:lvl>
  </w:abstractNum>
  <w:abstractNum w:abstractNumId="6">
    <w:nsid w:val="0468C48D"/>
    <w:multiLevelType w:val="singleLevel"/>
    <w:tmpl w:val="0468C48D"/>
    <w:lvl w:ilvl="0" w:tentative="0">
      <w:start w:val="1"/>
      <w:numFmt w:val="decimal"/>
      <w:lvlText w:val="%1."/>
      <w:lvlJc w:val="left"/>
      <w:pPr>
        <w:ind w:left="425" w:hanging="425"/>
      </w:pPr>
      <w:rPr>
        <w:rFonts w:hint="default"/>
      </w:rPr>
    </w:lvl>
  </w:abstractNum>
  <w:abstractNum w:abstractNumId="7">
    <w:nsid w:val="06C95F10"/>
    <w:multiLevelType w:val="singleLevel"/>
    <w:tmpl w:val="06C95F10"/>
    <w:lvl w:ilvl="0" w:tentative="0">
      <w:start w:val="6"/>
      <w:numFmt w:val="chineseCounting"/>
      <w:suff w:val="nothing"/>
      <w:lvlText w:val="%1、"/>
      <w:lvlJc w:val="left"/>
      <w:pPr>
        <w:ind w:left="0" w:firstLine="420"/>
      </w:pPr>
      <w:rPr>
        <w:rFonts w:hint="eastAsia"/>
      </w:rPr>
    </w:lvl>
  </w:abstractNum>
  <w:abstractNum w:abstractNumId="8">
    <w:nsid w:val="1BD545D5"/>
    <w:multiLevelType w:val="singleLevel"/>
    <w:tmpl w:val="1BD545D5"/>
    <w:lvl w:ilvl="0" w:tentative="0">
      <w:start w:val="1"/>
      <w:numFmt w:val="decimal"/>
      <w:lvlText w:val="%1."/>
      <w:lvlJc w:val="left"/>
      <w:pPr>
        <w:ind w:left="425" w:hanging="425"/>
      </w:pPr>
      <w:rPr>
        <w:rFonts w:hint="default"/>
      </w:rPr>
    </w:lvl>
  </w:abstractNum>
  <w:abstractNum w:abstractNumId="9">
    <w:nsid w:val="761DB999"/>
    <w:multiLevelType w:val="singleLevel"/>
    <w:tmpl w:val="761DB999"/>
    <w:lvl w:ilvl="0" w:tentative="0">
      <w:start w:val="3"/>
      <w:numFmt w:val="decimal"/>
      <w:lvlText w:val="%1."/>
      <w:lvlJc w:val="left"/>
      <w:pPr>
        <w:tabs>
          <w:tab w:val="left" w:pos="420"/>
        </w:tabs>
        <w:ind w:left="425" w:leftChars="0" w:hanging="425" w:firstLineChars="0"/>
      </w:pPr>
      <w:rPr>
        <w:rFonts w:hint="default"/>
      </w:rPr>
    </w:lvl>
  </w:abstractNum>
  <w:abstractNum w:abstractNumId="10">
    <w:nsid w:val="7655CAC6"/>
    <w:multiLevelType w:val="singleLevel"/>
    <w:tmpl w:val="7655CAC6"/>
    <w:lvl w:ilvl="0" w:tentative="0">
      <w:start w:val="1"/>
      <w:numFmt w:val="decimal"/>
      <w:lvlText w:val="%1."/>
      <w:lvlJc w:val="left"/>
      <w:pPr>
        <w:ind w:left="425" w:hanging="425"/>
      </w:pPr>
      <w:rPr>
        <w:rFonts w:hint="default"/>
      </w:rPr>
    </w:lvl>
  </w:abstractNum>
  <w:num w:numId="1">
    <w:abstractNumId w:val="2"/>
  </w:num>
  <w:num w:numId="2">
    <w:abstractNumId w:val="10"/>
  </w:num>
  <w:num w:numId="3">
    <w:abstractNumId w:val="3"/>
  </w:num>
  <w:num w:numId="4">
    <w:abstractNumId w:val="1"/>
  </w:num>
  <w:num w:numId="5">
    <w:abstractNumId w:val="9"/>
  </w:num>
  <w:num w:numId="6">
    <w:abstractNumId w:val="5"/>
  </w:num>
  <w:num w:numId="7">
    <w:abstractNumId w:val="4"/>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OTU1YmYzM2ZjNGZmY2Q2ZjkwNDRlY2RkMWIwNDcifQ=="/>
  </w:docVars>
  <w:rsids>
    <w:rsidRoot w:val="006A1D77"/>
    <w:rsid w:val="0007371B"/>
    <w:rsid w:val="000B28E4"/>
    <w:rsid w:val="000F48FC"/>
    <w:rsid w:val="00126BA7"/>
    <w:rsid w:val="00126CB2"/>
    <w:rsid w:val="001E6CAB"/>
    <w:rsid w:val="002E10FF"/>
    <w:rsid w:val="00343550"/>
    <w:rsid w:val="0052442F"/>
    <w:rsid w:val="00540361"/>
    <w:rsid w:val="006578A3"/>
    <w:rsid w:val="00673848"/>
    <w:rsid w:val="006A1D77"/>
    <w:rsid w:val="006F5C61"/>
    <w:rsid w:val="007D699C"/>
    <w:rsid w:val="0083076B"/>
    <w:rsid w:val="008C3E38"/>
    <w:rsid w:val="00910CBE"/>
    <w:rsid w:val="00980C47"/>
    <w:rsid w:val="009F45B9"/>
    <w:rsid w:val="00A31CC8"/>
    <w:rsid w:val="00A53225"/>
    <w:rsid w:val="00B97449"/>
    <w:rsid w:val="00C12A6D"/>
    <w:rsid w:val="00C403FB"/>
    <w:rsid w:val="00C61F84"/>
    <w:rsid w:val="00C705DA"/>
    <w:rsid w:val="00CA3F1E"/>
    <w:rsid w:val="00CD3925"/>
    <w:rsid w:val="00CE10A2"/>
    <w:rsid w:val="00D1262F"/>
    <w:rsid w:val="00D475F6"/>
    <w:rsid w:val="00D51FAF"/>
    <w:rsid w:val="00D75BF7"/>
    <w:rsid w:val="00DE3440"/>
    <w:rsid w:val="00F65767"/>
    <w:rsid w:val="05E05ABA"/>
    <w:rsid w:val="08BF077E"/>
    <w:rsid w:val="0AC97464"/>
    <w:rsid w:val="0E34182F"/>
    <w:rsid w:val="11535CDA"/>
    <w:rsid w:val="155D688F"/>
    <w:rsid w:val="15A91ED9"/>
    <w:rsid w:val="18CC08D5"/>
    <w:rsid w:val="1B5D0E96"/>
    <w:rsid w:val="1D54652C"/>
    <w:rsid w:val="234D7F47"/>
    <w:rsid w:val="300E30A0"/>
    <w:rsid w:val="32E97DF4"/>
    <w:rsid w:val="32FA6025"/>
    <w:rsid w:val="33592BC6"/>
    <w:rsid w:val="37A60062"/>
    <w:rsid w:val="4430417B"/>
    <w:rsid w:val="4AD52CE0"/>
    <w:rsid w:val="4C76404F"/>
    <w:rsid w:val="51606C86"/>
    <w:rsid w:val="561843C9"/>
    <w:rsid w:val="561B6AD7"/>
    <w:rsid w:val="585272AB"/>
    <w:rsid w:val="5C5A4D53"/>
    <w:rsid w:val="5FCA04E2"/>
    <w:rsid w:val="60D003FB"/>
    <w:rsid w:val="6DBB3E78"/>
    <w:rsid w:val="707C1E52"/>
    <w:rsid w:val="758B206A"/>
    <w:rsid w:val="77521091"/>
    <w:rsid w:val="7B9559F0"/>
    <w:rsid w:val="7F007624"/>
    <w:rsid w:val="7F66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tabs>
        <w:tab w:val="left" w:pos="576"/>
      </w:tabs>
      <w:spacing w:before="260" w:after="260" w:line="416" w:lineRule="auto"/>
      <w:ind w:left="576" w:hanging="576"/>
      <w:jc w:val="center"/>
      <w:outlineLvl w:val="1"/>
    </w:pPr>
    <w:rPr>
      <w:rFonts w:ascii="Arial" w:hAnsi="Arial" w:eastAsia="黑体"/>
      <w:b/>
      <w:bCs/>
      <w:sz w:val="30"/>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Strong"/>
    <w:basedOn w:val="9"/>
    <w:qFormat/>
    <w:uiPriority w:val="0"/>
    <w:rPr>
      <w:b/>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16"/>
    <w:qFormat/>
    <w:uiPriority w:val="0"/>
    <w:rPr>
      <w:rFonts w:hint="default" w:ascii="Times New Roman" w:hAnsi="Times New Roman" w:cs="Times New Roman"/>
    </w:rPr>
  </w:style>
  <w:style w:type="paragraph" w:customStyle="1" w:styleId="14">
    <w:name w:val="正文文本缩进1"/>
    <w:basedOn w:val="1"/>
    <w:qFormat/>
    <w:uiPriority w:val="0"/>
    <w:pPr>
      <w:ind w:firstLine="570"/>
    </w:pPr>
    <w:rPr>
      <w:rFonts w:ascii="宋体" w:hAnsi="宋体" w:cs="宋体"/>
      <w:sz w:val="28"/>
      <w:szCs w:val="28"/>
    </w:rPr>
  </w:style>
  <w:style w:type="character" w:customStyle="1" w:styleId="15">
    <w:name w:val="标题 2 Char"/>
    <w:basedOn w:val="9"/>
    <w:link w:val="3"/>
    <w:qFormat/>
    <w:uiPriority w:val="0"/>
    <w:rPr>
      <w:rFonts w:ascii="Arial" w:hAnsi="Arial" w:eastAsia="黑体" w:cs="Times New Roman"/>
      <w:b/>
      <w:bCs/>
      <w:sz w:val="30"/>
      <w:szCs w:val="32"/>
    </w:rPr>
  </w:style>
  <w:style w:type="character" w:customStyle="1" w:styleId="16">
    <w:name w:val="标题 1 Char"/>
    <w:basedOn w:val="9"/>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2965</Words>
  <Characters>3176</Characters>
  <Lines>33</Lines>
  <Paragraphs>9</Paragraphs>
  <TotalTime>4</TotalTime>
  <ScaleCrop>false</ScaleCrop>
  <LinksUpToDate>false</LinksUpToDate>
  <CharactersWithSpaces>3225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2024-08-12T02:04:00Z</dcterms:created>
  <dc:creator>别仲旻</dc:creator>
  <cp:lastModifiedBy>雷进辉</cp:lastModifiedBy>
  <cp:lastPrinted>2025-06-17T00:50:00Z</cp:lastPrinted>
  <dcterms:modified xsi:type="dcterms:W3CDTF">2025-06-30T07:22:48Z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42DEF93031A946FBB8506D142346448B_13</vt:lpwstr>
  </property>
  <property fmtid="{D5CDD505-2E9C-101B-9397-08002B2CF9AE}" pid="4" name="KSOTemplateDocerSaveRecord">
    <vt:lpwstr>eyJoZGlkIjoiOTgwMGRmZWRhN2QxOTJmODUyOWI3NTgyMzAwMzI2YmEiLCJ1c2VySWQiOiIxNjUzNzg0NjM4In0=</vt:lpwstr>
  </property>
</Properties>
</file>