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0" w:type="dxa"/>
        <w:jc w:val="center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thinThickSmallGap" w:color="auto" w:sz="24" w:space="0"/>
          <w:insideV w:val="thinThickSmallGap" w:color="auto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1149"/>
        <w:gridCol w:w="1852"/>
        <w:gridCol w:w="567"/>
        <w:gridCol w:w="560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综合评分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分值构成（总分_</w:t>
            </w:r>
            <w:r>
              <w:rPr>
                <w:rFonts w:hint="eastAsia"/>
                <w:szCs w:val="21"/>
              </w:rPr>
              <w:t>100</w:t>
            </w:r>
            <w:r>
              <w:rPr>
                <w:szCs w:val="21"/>
              </w:rPr>
              <w:t>_分）</w:t>
            </w:r>
          </w:p>
        </w:tc>
        <w:tc>
          <w:tcPr>
            <w:tcW w:w="560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szCs w:val="21"/>
              </w:rPr>
              <w:t>分；</w:t>
            </w:r>
            <w:r>
              <w:rPr>
                <w:rFonts w:hint="eastAsia"/>
                <w:szCs w:val="21"/>
              </w:rPr>
              <w:t>技术部分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>70</w:t>
            </w:r>
            <w:r>
              <w:rPr>
                <w:szCs w:val="21"/>
              </w:rPr>
              <w:t>分；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（没分时打“/”）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评分因素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各评分因素细分项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  <w:tc>
          <w:tcPr>
            <w:tcW w:w="5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评分标准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1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报价</w:t>
            </w:r>
          </w:p>
        </w:tc>
        <w:tc>
          <w:tcPr>
            <w:tcW w:w="1852" w:type="dxa"/>
            <w:vAlign w:val="center"/>
          </w:tcPr>
          <w:p>
            <w:pPr>
              <w:ind w:firstLine="210" w:firstLineChars="100"/>
              <w:jc w:val="left"/>
              <w:rPr>
                <w:szCs w:val="21"/>
              </w:rPr>
            </w:pPr>
            <w:r>
              <w:rPr>
                <w:szCs w:val="21"/>
              </w:rPr>
              <w:t>投标人清单报价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560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评标基准价。所有有效报价的算术平均值【超过5个（不含）有效供应商时去掉一个最低和最高报价】为评标基准价。得分为：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（1）报价低于评标基准价的，每低于1.0%扣0.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分；该项记分公式为：K=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-[（Q-q）/Q]×100×0.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（0≤K≤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（2）报价高于评标基准价的，每高于1.0%扣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分。该项记分公式为：K=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+[（Q -q）/ Q]×100×</w:t>
            </w:r>
            <w:r>
              <w:rPr>
                <w:szCs w:val="21"/>
              </w:rPr>
              <w:t>0.1</w:t>
            </w:r>
            <w:r>
              <w:rPr>
                <w:rFonts w:hint="eastAsia"/>
                <w:szCs w:val="21"/>
              </w:rPr>
              <w:t>（0≤K≤</w:t>
            </w:r>
            <w:r>
              <w:rPr>
                <w:rFonts w:hint="eastAsia"/>
                <w:szCs w:val="21"/>
                <w:lang w:val="en-US" w:eastAsia="zh-CN"/>
              </w:rPr>
              <w:t>30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以上式中：q--报价， Q--评标基准价</w:t>
            </w:r>
          </w:p>
          <w:p>
            <w:pPr>
              <w:pStyle w:val="2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最高得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30</w:t>
            </w:r>
            <w:r>
              <w:rPr>
                <w:rFonts w:hint="eastAsia" w:ascii="Calibri" w:hAnsi="Calibri" w:eastAsia="宋体" w:cs="Times New Roman"/>
                <w:szCs w:val="21"/>
              </w:rPr>
              <w:t>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78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.针对本项目的主要施工技术方案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560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关键</w:t>
            </w:r>
            <w:bookmarkStart w:id="0" w:name="_GoBack"/>
            <w:r>
              <w:rPr>
                <w:rFonts w:hint="eastAsia" w:ascii="宋体" w:hAnsi="宋体" w:cs="宋体"/>
                <w:kern w:val="0"/>
                <w:szCs w:val="21"/>
              </w:rPr>
              <w:t>施工技术、工艺、重点、难点分析和解决方案</w:t>
            </w:r>
            <w:r>
              <w:rPr>
                <w:kern w:val="0"/>
                <w:szCs w:val="21"/>
              </w:rPr>
              <w:t>: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内容完备，合理、针对性强得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内容完备，可行、有针对性得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内容欠完备，基本可行、缺乏针对性得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无分析或解决方案不可行得</w:t>
            </w:r>
            <w:r>
              <w:rPr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  <w:bookmarkEnd w:id="0"/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.项目实施保障措施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5603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施工进度计划及确保工期的技术组织措施</w:t>
            </w:r>
            <w:r>
              <w:rPr>
                <w:kern w:val="0"/>
                <w:szCs w:val="21"/>
              </w:rPr>
              <w:t>: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科学、合理、针对性强、工期优于文件要求、有误期违约承诺更利于保障质量得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合理、可行、误期违约承诺可行得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欠合理，基本可行、误期违约承诺一般得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不可行，不能满足要求得</w:t>
            </w:r>
            <w:r>
              <w:rPr>
                <w:kern w:val="0"/>
                <w:szCs w:val="21"/>
              </w:rPr>
              <w:t xml:space="preserve">0 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pStyle w:val="2"/>
              <w:rPr>
                <w:szCs w:val="21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.类似工程业绩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560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供应商提供近两年来（2021年1月-202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年12月）有类似项目业绩，每提供一个合同得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分，合同文本最多得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分（业绩合同与供应商名称一致并加盖公章），供应商公章，原件备查，否则不得分）。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  <w:jc w:val="center"/>
        </w:trPr>
        <w:tc>
          <w:tcPr>
            <w:tcW w:w="78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.质保期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560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满足甲方质保期要求的得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val="en-US" w:eastAsia="zh-CN"/>
              </w:rPr>
              <w:t>(质保期2年）</w:t>
            </w:r>
            <w:r>
              <w:rPr>
                <w:rFonts w:hint="eastAsia"/>
                <w:szCs w:val="21"/>
              </w:rPr>
              <w:t>，不满足不得分。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thinThickSmallGap" w:color="auto" w:sz="24" w:space="0"/>
            <w:insideV w:val="thinThickSmallGap" w:color="auto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9960" w:type="dxa"/>
            <w:gridSpan w:val="5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总得分相同时确定排序的原则：以报价较低的优先。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YjE0MTBkYjE3YTUwMTgzYjEwZjE0ZmU3ZTc2YmYifQ=="/>
  </w:docVars>
  <w:rsids>
    <w:rsidRoot w:val="005A613D"/>
    <w:rsid w:val="00007B9F"/>
    <w:rsid w:val="000757B4"/>
    <w:rsid w:val="0008433F"/>
    <w:rsid w:val="000C5B55"/>
    <w:rsid w:val="000F5EF1"/>
    <w:rsid w:val="0011524C"/>
    <w:rsid w:val="00156608"/>
    <w:rsid w:val="00165401"/>
    <w:rsid w:val="0017149C"/>
    <w:rsid w:val="001B7A3E"/>
    <w:rsid w:val="0028122D"/>
    <w:rsid w:val="002B21E8"/>
    <w:rsid w:val="002D53B7"/>
    <w:rsid w:val="00322316"/>
    <w:rsid w:val="003315F4"/>
    <w:rsid w:val="00381144"/>
    <w:rsid w:val="003A79B4"/>
    <w:rsid w:val="004415F1"/>
    <w:rsid w:val="004512E6"/>
    <w:rsid w:val="00455BE0"/>
    <w:rsid w:val="004A555F"/>
    <w:rsid w:val="004B2972"/>
    <w:rsid w:val="004D5EB7"/>
    <w:rsid w:val="005575C0"/>
    <w:rsid w:val="00576D25"/>
    <w:rsid w:val="005A3030"/>
    <w:rsid w:val="005A613D"/>
    <w:rsid w:val="005E1F25"/>
    <w:rsid w:val="00645C5F"/>
    <w:rsid w:val="0068273E"/>
    <w:rsid w:val="006A2EBF"/>
    <w:rsid w:val="00715CE2"/>
    <w:rsid w:val="00742C79"/>
    <w:rsid w:val="007469FC"/>
    <w:rsid w:val="00752981"/>
    <w:rsid w:val="007706F4"/>
    <w:rsid w:val="0078466B"/>
    <w:rsid w:val="007B07ED"/>
    <w:rsid w:val="008F7A5D"/>
    <w:rsid w:val="009176E5"/>
    <w:rsid w:val="00922363"/>
    <w:rsid w:val="00922B10"/>
    <w:rsid w:val="009B0E30"/>
    <w:rsid w:val="00A47216"/>
    <w:rsid w:val="00A52822"/>
    <w:rsid w:val="00A64705"/>
    <w:rsid w:val="00AB6ADC"/>
    <w:rsid w:val="00AE513A"/>
    <w:rsid w:val="00B91F77"/>
    <w:rsid w:val="00BC1CDC"/>
    <w:rsid w:val="00BE05F5"/>
    <w:rsid w:val="00C22B06"/>
    <w:rsid w:val="00C37B5E"/>
    <w:rsid w:val="00C4148F"/>
    <w:rsid w:val="00C5600D"/>
    <w:rsid w:val="00C677F3"/>
    <w:rsid w:val="00CA715C"/>
    <w:rsid w:val="00CB5635"/>
    <w:rsid w:val="00CE76B9"/>
    <w:rsid w:val="00D319DD"/>
    <w:rsid w:val="00D41148"/>
    <w:rsid w:val="00D60CBC"/>
    <w:rsid w:val="00DE3FF2"/>
    <w:rsid w:val="00DF5F38"/>
    <w:rsid w:val="00EC3F7C"/>
    <w:rsid w:val="00EC61C8"/>
    <w:rsid w:val="00EE2B12"/>
    <w:rsid w:val="00F05AEA"/>
    <w:rsid w:val="00F4198F"/>
    <w:rsid w:val="00FF573A"/>
    <w:rsid w:val="0A6E312A"/>
    <w:rsid w:val="0EC540DE"/>
    <w:rsid w:val="2E9022D7"/>
    <w:rsid w:val="4CE745A5"/>
    <w:rsid w:val="742873A2"/>
    <w:rsid w:val="7EB316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/>
    </w:pPr>
    <w:rPr>
      <w:rFonts w:ascii="宋体" w:hAnsi="宋体" w:eastAsiaTheme="minorEastAsia" w:cstheme="minorBidi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正文文本 Char"/>
    <w:link w:val="2"/>
    <w:autoRedefine/>
    <w:qFormat/>
    <w:uiPriority w:val="0"/>
    <w:rPr>
      <w:rFonts w:ascii="宋体" w:hAnsi="宋体"/>
      <w:szCs w:val="24"/>
    </w:rPr>
  </w:style>
  <w:style w:type="character" w:customStyle="1" w:styleId="10">
    <w:name w:val="正文文本 字符"/>
    <w:basedOn w:val="6"/>
    <w:autoRedefine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221</Words>
  <Characters>1266</Characters>
  <Lines>10</Lines>
  <Paragraphs>2</Paragraphs>
  <TotalTime>228</TotalTime>
  <ScaleCrop>false</ScaleCrop>
  <LinksUpToDate>false</LinksUpToDate>
  <CharactersWithSpaces>1485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2020-05-10T03:06:00Z</dcterms:created>
  <dc:creator>肖琳</dc:creator>
  <cp:lastModifiedBy>腹黑的兔子</cp:lastModifiedBy>
  <cp:lastPrinted>2024-05-16T00:51:00Z</cp:lastPrinted>
  <dcterms:modified xsi:type="dcterms:W3CDTF">2024-05-16T07:00:23Z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C1F7C77C5FF14B568B6685D9969313C7_13</vt:lpwstr>
  </property>
</Properties>
</file>